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a8"/>
        <w:bidiVisual/>
        <w:tblW w:w="8820" w:type="dxa"/>
        <w:jc w:val="center"/>
        <w:tblLook w:val="01E0" w:firstRow="1" w:lastRow="1" w:firstColumn="1" w:lastColumn="1" w:noHBand="0" w:noVBand="0"/>
      </w:tblPr>
      <w:tblGrid>
        <w:gridCol w:w="923"/>
        <w:gridCol w:w="3219"/>
        <w:gridCol w:w="4678"/>
      </w:tblGrid>
      <w:tr w:rsidR="00507694" w:rsidRPr="00822550" w:rsidTr="000F2247">
        <w:trPr>
          <w:trHeight w:val="355"/>
          <w:jc w:val="center"/>
        </w:trPr>
        <w:tc>
          <w:tcPr>
            <w:tcW w:w="923" w:type="dxa"/>
            <w:tcBorders>
              <w:top w:val="nil"/>
              <w:left w:val="nil"/>
              <w:bottom w:val="nil"/>
              <w:right w:val="nil"/>
            </w:tcBorders>
          </w:tcPr>
          <w:p w:rsidR="00507694" w:rsidRPr="001413F0" w:rsidRDefault="00684E84">
            <w:pPr>
              <w:jc w:val="both"/>
              <w:rPr>
                <w:rFonts w:ascii="David" w:hAnsi="David"/>
                <w:b/>
                <w:bCs/>
                <w:sz w:val="26"/>
                <w:szCs w:val="26"/>
              </w:rPr>
            </w:pPr>
            <w:bookmarkStart w:id="0" w:name="_GoBack"/>
            <w:bookmarkEnd w:id="0"/>
            <w:r w:rsidRPr="001413F0">
              <w:rPr>
                <w:rFonts w:ascii="David" w:hAnsi="David"/>
                <w:b/>
                <w:bCs/>
                <w:sz w:val="26"/>
                <w:szCs w:val="26"/>
                <w:rtl/>
              </w:rPr>
              <w:t>בעניין:</w:t>
            </w:r>
          </w:p>
        </w:tc>
        <w:tc>
          <w:tcPr>
            <w:tcW w:w="3219" w:type="dxa"/>
            <w:tcBorders>
              <w:top w:val="nil"/>
              <w:left w:val="nil"/>
              <w:bottom w:val="nil"/>
              <w:right w:val="nil"/>
            </w:tcBorders>
          </w:tcPr>
          <w:p w:rsidR="000F2247" w:rsidRDefault="00D82776" w:rsidP="000F2247">
            <w:pPr>
              <w:suppressLineNumbers/>
            </w:pPr>
            <w:r>
              <w:rPr>
                <w:rFonts w:ascii="Arial" w:hAnsi="Arial" w:hint="cs"/>
                <w:b/>
                <w:bCs/>
                <w:sz w:val="26"/>
                <w:szCs w:val="26"/>
                <w:rtl/>
              </w:rPr>
              <w:t>המבקשת</w:t>
            </w:r>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A07292" w:rsidRDefault="006D1B1F"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B513A7">
                  <w:rPr>
                    <w:rFonts w:ascii="Arial" w:hAnsi="Arial"/>
                    <w:b/>
                    <w:bCs/>
                    <w:sz w:val="26"/>
                    <w:szCs w:val="26"/>
                    <w:rtl/>
                  </w:rPr>
                  <w:t>מדינת ישראל</w:t>
                </w:r>
              </w:sdtContent>
            </w:sdt>
            <w:r w:rsidR="009705CC">
              <w:rPr>
                <w:rFonts w:ascii="Arial" w:hAnsi="Arial" w:hint="cs"/>
                <w:b/>
                <w:bCs/>
                <w:sz w:val="26"/>
                <w:szCs w:val="26"/>
                <w:rtl/>
              </w:rPr>
              <w:t xml:space="preserve"> </w:t>
            </w:r>
          </w:p>
          <w:p w:rsidR="000F2247" w:rsidRDefault="001413F0" w:rsidP="000F2247">
            <w:pPr>
              <w:suppressLineNumbers/>
            </w:pPr>
            <w:r>
              <w:rPr>
                <w:rFonts w:ascii="Arial" w:hAnsi="Arial"/>
                <w:rtl/>
              </w:rPr>
              <w:t xml:space="preserve">ע"י ב"כ </w:t>
            </w:r>
            <w:r>
              <w:rPr>
                <w:rFonts w:ascii="Arial" w:hAnsi="Arial" w:hint="cs"/>
                <w:rtl/>
              </w:rPr>
              <w:t xml:space="preserve">עו"ד אילנה </w:t>
            </w:r>
            <w:proofErr w:type="spellStart"/>
            <w:r>
              <w:rPr>
                <w:rFonts w:ascii="Arial" w:hAnsi="Arial" w:hint="cs"/>
                <w:rtl/>
              </w:rPr>
              <w:t>סיריס</w:t>
            </w:r>
            <w:proofErr w:type="spellEnd"/>
            <w:r>
              <w:rPr>
                <w:rFonts w:ascii="Arial" w:hAnsi="Arial" w:hint="cs"/>
                <w:rtl/>
              </w:rPr>
              <w:t xml:space="preserve"> </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B513A7" w:rsidP="003E0C9F">
            <w:pPr>
              <w:rPr>
                <w:rFonts w:ascii="Arial" w:hAnsi="Arial"/>
                <w:b/>
                <w:bCs/>
                <w:sz w:val="26"/>
                <w:szCs w:val="26"/>
                <w:rtl/>
              </w:rPr>
            </w:pPr>
            <w:r>
              <w:rPr>
                <w:rFonts w:ascii="Arial" w:hAnsi="Arial" w:hint="cs"/>
                <w:b/>
                <w:bCs/>
                <w:sz w:val="26"/>
                <w:szCs w:val="26"/>
                <w:rtl/>
              </w:rPr>
              <w:t>המשיב</w:t>
            </w:r>
          </w:p>
        </w:tc>
        <w:tc>
          <w:tcPr>
            <w:tcW w:w="4678" w:type="dxa"/>
            <w:tcBorders>
              <w:top w:val="nil"/>
              <w:left w:val="nil"/>
              <w:bottom w:val="nil"/>
              <w:right w:val="nil"/>
            </w:tcBorders>
            <w:vAlign w:val="center"/>
          </w:tcPr>
          <w:p w:rsidR="00A07292" w:rsidRDefault="006D1B1F" w:rsidP="000F2247">
            <w:pPr>
              <w:suppressLineNumbers/>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proofErr w:type="spellStart"/>
                <w:r w:rsidR="00B513A7">
                  <w:rPr>
                    <w:rFonts w:ascii="Arial" w:hAnsi="Arial"/>
                    <w:b/>
                    <w:bCs/>
                    <w:sz w:val="26"/>
                    <w:szCs w:val="26"/>
                    <w:rtl/>
                  </w:rPr>
                  <w:t>תאאר</w:t>
                </w:r>
                <w:proofErr w:type="spellEnd"/>
                <w:r w:rsidR="00B513A7">
                  <w:rPr>
                    <w:rFonts w:ascii="Arial" w:hAnsi="Arial"/>
                    <w:b/>
                    <w:bCs/>
                    <w:sz w:val="26"/>
                    <w:szCs w:val="26"/>
                    <w:rtl/>
                  </w:rPr>
                  <w:t xml:space="preserve"> </w:t>
                </w:r>
                <w:proofErr w:type="spellStart"/>
                <w:r w:rsidR="00B513A7">
                  <w:rPr>
                    <w:rFonts w:ascii="Arial" w:hAnsi="Arial"/>
                    <w:b/>
                    <w:bCs/>
                    <w:sz w:val="26"/>
                    <w:szCs w:val="26"/>
                    <w:rtl/>
                  </w:rPr>
                  <w:t>ברקאן</w:t>
                </w:r>
                <w:proofErr w:type="spellEnd"/>
                <w:r w:rsidR="00B513A7">
                  <w:rPr>
                    <w:rFonts w:ascii="Arial" w:hAnsi="Arial"/>
                    <w:b/>
                    <w:bCs/>
                    <w:sz w:val="26"/>
                    <w:szCs w:val="26"/>
                    <w:rtl/>
                  </w:rPr>
                  <w:t xml:space="preserve"> (עציר)</w:t>
                </w:r>
              </w:sdtContent>
            </w:sdt>
            <w:r w:rsidR="009705CC">
              <w:rPr>
                <w:rFonts w:ascii="Arial" w:hAnsi="Arial" w:hint="cs"/>
                <w:b/>
                <w:bCs/>
                <w:sz w:val="26"/>
                <w:szCs w:val="26"/>
                <w:rtl/>
              </w:rPr>
              <w:t xml:space="preserve"> </w:t>
            </w:r>
          </w:p>
          <w:p w:rsidR="000F2247" w:rsidRDefault="001413F0" w:rsidP="000F2247">
            <w:pPr>
              <w:suppressLineNumbers/>
            </w:pPr>
            <w:r>
              <w:rPr>
                <w:rFonts w:ascii="Arial" w:hAnsi="Arial"/>
                <w:rtl/>
              </w:rPr>
              <w:t>ע"י ב"כ עו</w:t>
            </w:r>
            <w:r w:rsidR="009705CC" w:rsidRPr="00B23FA5">
              <w:rPr>
                <w:rFonts w:ascii="Arial" w:hAnsi="Arial"/>
                <w:rtl/>
              </w:rPr>
              <w:t>"ד</w:t>
            </w:r>
            <w:r>
              <w:rPr>
                <w:rFonts w:ascii="Arial" w:hAnsi="Arial" w:hint="cs"/>
                <w:rtl/>
              </w:rPr>
              <w:t xml:space="preserve"> מירב חורי </w:t>
            </w:r>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774483" w:rsidRDefault="003A052D" w:rsidP="001413F0">
            <w:pPr>
              <w:spacing w:line="360" w:lineRule="auto"/>
              <w:jc w:val="center"/>
              <w:rPr>
                <w:rFonts w:ascii="David" w:hAnsi="David"/>
                <w:sz w:val="36"/>
                <w:szCs w:val="36"/>
                <w:u w:val="single"/>
                <w:rtl/>
              </w:rPr>
            </w:pPr>
            <w:r>
              <w:rPr>
                <w:rFonts w:ascii="David" w:hAnsi="David" w:hint="cs"/>
                <w:b/>
                <w:bCs/>
                <w:sz w:val="36"/>
                <w:szCs w:val="36"/>
                <w:u w:val="single"/>
                <w:rtl/>
              </w:rPr>
              <w:t>החלטה</w:t>
            </w:r>
          </w:p>
        </w:tc>
      </w:tr>
    </w:tbl>
    <w:p w:rsidR="00507694" w:rsidRPr="000F2247" w:rsidRDefault="00507694">
      <w:pPr>
        <w:rPr>
          <w:rFonts w:ascii="Arial" w:hAnsi="Arial"/>
          <w:b/>
          <w:bCs/>
          <w:sz w:val="26"/>
          <w:szCs w:val="26"/>
          <w:rtl/>
        </w:rPr>
      </w:pPr>
    </w:p>
    <w:p w:rsidR="00507694" w:rsidRPr="001413F0" w:rsidRDefault="002B5B71" w:rsidP="001413F0">
      <w:pPr>
        <w:pStyle w:val="ab"/>
        <w:numPr>
          <w:ilvl w:val="0"/>
          <w:numId w:val="3"/>
        </w:numPr>
        <w:spacing w:line="360" w:lineRule="auto"/>
        <w:jc w:val="both"/>
        <w:rPr>
          <w:rFonts w:ascii="Arial" w:hAnsi="Arial"/>
        </w:rPr>
      </w:pPr>
      <w:r>
        <w:rPr>
          <w:rFonts w:ascii="Arial" w:hAnsi="Arial" w:hint="cs"/>
          <w:rtl/>
        </w:rPr>
        <w:t xml:space="preserve">לפניי בקשה למעצרו של המשיב עד לתום ההליכים, כאשר אליבא </w:t>
      </w:r>
      <w:proofErr w:type="spellStart"/>
      <w:r>
        <w:rPr>
          <w:rFonts w:ascii="Arial" w:hAnsi="Arial" w:hint="cs"/>
          <w:rtl/>
        </w:rPr>
        <w:t>דכתב</w:t>
      </w:r>
      <w:proofErr w:type="spellEnd"/>
      <w:r>
        <w:rPr>
          <w:rFonts w:ascii="Arial" w:hAnsi="Arial" w:hint="cs"/>
          <w:rtl/>
        </w:rPr>
        <w:t xml:space="preserve"> האישום, מיוחסות לו עבירות של גניבת רכב בצוותא </w:t>
      </w:r>
      <w:r>
        <w:rPr>
          <w:rFonts w:ascii="Arial" w:hAnsi="Arial"/>
          <w:rtl/>
        </w:rPr>
        <w:t>–</w:t>
      </w:r>
      <w:r>
        <w:rPr>
          <w:rFonts w:ascii="Arial" w:hAnsi="Arial" w:hint="cs"/>
          <w:rtl/>
        </w:rPr>
        <w:t xml:space="preserve"> עבירה לפי סעיף 413ב לחוק העונשין, תשל"ז </w:t>
      </w:r>
      <w:r>
        <w:rPr>
          <w:rFonts w:ascii="Arial" w:hAnsi="Arial"/>
          <w:rtl/>
        </w:rPr>
        <w:t>–</w:t>
      </w:r>
      <w:r>
        <w:rPr>
          <w:rFonts w:ascii="Arial" w:hAnsi="Arial" w:hint="cs"/>
          <w:rtl/>
        </w:rPr>
        <w:t xml:space="preserve"> 1977 (להלן:</w:t>
      </w:r>
      <w:r>
        <w:rPr>
          <w:rFonts w:ascii="Arial" w:hAnsi="Arial" w:hint="cs"/>
        </w:rPr>
        <w:t xml:space="preserve"> </w:t>
      </w:r>
      <w:r w:rsidRPr="002B5B71">
        <w:rPr>
          <w:rFonts w:ascii="Arial" w:hAnsi="Arial" w:hint="cs"/>
          <w:b/>
          <w:bCs/>
          <w:rtl/>
        </w:rPr>
        <w:t>"החוק"</w:t>
      </w:r>
      <w:r>
        <w:rPr>
          <w:rFonts w:ascii="Arial" w:hAnsi="Arial" w:hint="cs"/>
          <w:rtl/>
        </w:rPr>
        <w:t xml:space="preserve">); פריצה לרכב בצוותא </w:t>
      </w:r>
      <w:proofErr w:type="spellStart"/>
      <w:r>
        <w:rPr>
          <w:rFonts w:ascii="Arial" w:hAnsi="Arial" w:hint="cs"/>
          <w:rtl/>
        </w:rPr>
        <w:t>חדא</w:t>
      </w:r>
      <w:proofErr w:type="spellEnd"/>
      <w:r>
        <w:rPr>
          <w:rFonts w:ascii="Arial" w:hAnsi="Arial" w:hint="cs"/>
          <w:rtl/>
        </w:rPr>
        <w:t>, עבירה לפי סעיף 413ו רישא לחוק; הפרעה לשוטר במילוי תפקידו, עבירה לפי סעיף 175 לחוק; נהיגה פוחזת של רכב, עבירה לפי סעיף 338(א)(1)</w:t>
      </w:r>
      <w:r>
        <w:rPr>
          <w:rFonts w:ascii="Arial" w:hAnsi="Arial" w:hint="cs"/>
        </w:rPr>
        <w:t xml:space="preserve"> </w:t>
      </w:r>
      <w:r>
        <w:rPr>
          <w:rFonts w:ascii="Arial" w:hAnsi="Arial" w:hint="cs"/>
          <w:rtl/>
        </w:rPr>
        <w:t>לחוק; כניסה לישראל שלא כדין, עבירה לפי סעיף 12(1)</w:t>
      </w:r>
      <w:r>
        <w:rPr>
          <w:rFonts w:ascii="Arial" w:hAnsi="Arial" w:hint="cs"/>
        </w:rPr>
        <w:t xml:space="preserve"> </w:t>
      </w:r>
      <w:r>
        <w:rPr>
          <w:rFonts w:ascii="Arial" w:hAnsi="Arial" w:hint="cs"/>
          <w:rtl/>
        </w:rPr>
        <w:t xml:space="preserve">לחוק הכניסה לישראל, תשי"ב </w:t>
      </w:r>
      <w:r>
        <w:rPr>
          <w:rFonts w:ascii="Arial" w:hAnsi="Arial"/>
          <w:rtl/>
        </w:rPr>
        <w:t>–</w:t>
      </w:r>
      <w:r>
        <w:rPr>
          <w:rFonts w:ascii="Arial" w:hAnsi="Arial" w:hint="cs"/>
          <w:rtl/>
        </w:rPr>
        <w:t xml:space="preserve"> 1952; נהיגה ללא רישיון נהיגה (בלתי מורשה), עבירה לפי סעיף 10(א) לפקודת התעבורה (נוסח חדש), תשכ"א </w:t>
      </w:r>
      <w:r>
        <w:rPr>
          <w:rFonts w:ascii="Arial" w:hAnsi="Arial"/>
          <w:rtl/>
        </w:rPr>
        <w:t>–</w:t>
      </w:r>
      <w:r>
        <w:rPr>
          <w:rFonts w:ascii="Arial" w:hAnsi="Arial" w:hint="cs"/>
          <w:rtl/>
        </w:rPr>
        <w:t xml:space="preserve"> 1961; נהיגה באור אדום, עבירה לפי תקנה 22(א)</w:t>
      </w:r>
      <w:r>
        <w:rPr>
          <w:rFonts w:ascii="Arial" w:hAnsi="Arial" w:hint="cs"/>
        </w:rPr>
        <w:t xml:space="preserve"> </w:t>
      </w:r>
      <w:r>
        <w:rPr>
          <w:rFonts w:ascii="Arial" w:hAnsi="Arial" w:hint="cs"/>
          <w:rtl/>
        </w:rPr>
        <w:t xml:space="preserve">לתקנות התעבורה, תשכ"א </w:t>
      </w:r>
      <w:r>
        <w:rPr>
          <w:rFonts w:ascii="Arial" w:hAnsi="Arial"/>
          <w:rtl/>
        </w:rPr>
        <w:t>–</w:t>
      </w:r>
      <w:r>
        <w:rPr>
          <w:rFonts w:ascii="Arial" w:hAnsi="Arial" w:hint="cs"/>
          <w:rtl/>
        </w:rPr>
        <w:t xml:space="preserve"> 1961; נהיגה ללא ביטוח, עבירה לפי סעיף 2א לפקודת ביטוח רכב מנועי (נוסח חדש), תש"ל </w:t>
      </w:r>
      <w:r>
        <w:rPr>
          <w:rFonts w:ascii="Arial" w:hAnsi="Arial"/>
          <w:rtl/>
        </w:rPr>
        <w:t>–</w:t>
      </w:r>
      <w:r>
        <w:rPr>
          <w:rFonts w:ascii="Arial" w:hAnsi="Arial" w:hint="cs"/>
          <w:rtl/>
        </w:rPr>
        <w:t xml:space="preserve"> 1970.</w:t>
      </w:r>
    </w:p>
    <w:p w:rsidR="001413F0" w:rsidRPr="001413F0" w:rsidRDefault="001413F0" w:rsidP="001413F0">
      <w:pPr>
        <w:pStyle w:val="ab"/>
        <w:spacing w:line="360" w:lineRule="auto"/>
        <w:ind w:left="360"/>
        <w:jc w:val="both"/>
        <w:rPr>
          <w:rFonts w:ascii="Arial" w:hAnsi="Arial"/>
        </w:rPr>
      </w:pPr>
    </w:p>
    <w:p w:rsidR="001413F0" w:rsidRDefault="002B5B71" w:rsidP="002B5B71">
      <w:pPr>
        <w:pStyle w:val="ab"/>
        <w:spacing w:line="360" w:lineRule="auto"/>
        <w:ind w:left="360"/>
        <w:jc w:val="both"/>
        <w:rPr>
          <w:rFonts w:ascii="Arial" w:hAnsi="Arial"/>
          <w:rtl/>
        </w:rPr>
      </w:pPr>
      <w:r>
        <w:rPr>
          <w:rFonts w:ascii="Arial" w:hAnsi="Arial" w:hint="cs"/>
          <w:rtl/>
        </w:rPr>
        <w:t xml:space="preserve">למקרא עובדות כתב האישום שהוגש כנגד המשיב, עולה כי ביום 17.11.2024 החנה המתלונן את רכבו מסוג גילי, ברחוב </w:t>
      </w:r>
      <w:proofErr w:type="spellStart"/>
      <w:r>
        <w:rPr>
          <w:rFonts w:ascii="Arial" w:hAnsi="Arial" w:hint="cs"/>
          <w:rtl/>
        </w:rPr>
        <w:t>רבינוביץ</w:t>
      </w:r>
      <w:proofErr w:type="spellEnd"/>
      <w:r>
        <w:rPr>
          <w:rFonts w:ascii="Arial" w:hAnsi="Arial" w:hint="cs"/>
          <w:rtl/>
        </w:rPr>
        <w:t xml:space="preserve"> בחולון. </w:t>
      </w:r>
    </w:p>
    <w:p w:rsidR="002B5B71" w:rsidRDefault="002B5B71" w:rsidP="002B5B71">
      <w:pPr>
        <w:pStyle w:val="ab"/>
        <w:spacing w:line="360" w:lineRule="auto"/>
        <w:ind w:left="360"/>
        <w:jc w:val="both"/>
        <w:rPr>
          <w:rFonts w:ascii="Arial" w:hAnsi="Arial"/>
          <w:rtl/>
        </w:rPr>
      </w:pPr>
      <w:r>
        <w:rPr>
          <w:rFonts w:ascii="Arial" w:hAnsi="Arial" w:hint="cs"/>
          <w:rtl/>
        </w:rPr>
        <w:t xml:space="preserve">ביום 18.11.2024, לפנות בוקר, הגיע המשיב למקום ביחד עם אחר שזהותו אינה ידועה למבקשת ופרצו לרכב בצוותא </w:t>
      </w:r>
      <w:proofErr w:type="spellStart"/>
      <w:r>
        <w:rPr>
          <w:rFonts w:ascii="Arial" w:hAnsi="Arial" w:hint="cs"/>
          <w:rtl/>
        </w:rPr>
        <w:t>חדא</w:t>
      </w:r>
      <w:proofErr w:type="spellEnd"/>
      <w:r>
        <w:rPr>
          <w:rFonts w:ascii="Arial" w:hAnsi="Arial" w:hint="cs"/>
          <w:rtl/>
        </w:rPr>
        <w:t xml:space="preserve">, בכך שניפצו את חלון האשנב הקדמי ואת שמשת חלון דלת אחורית. </w:t>
      </w:r>
    </w:p>
    <w:p w:rsidR="002B5B71" w:rsidRDefault="002B5B71" w:rsidP="002B5B71">
      <w:pPr>
        <w:pStyle w:val="ab"/>
        <w:spacing w:line="360" w:lineRule="auto"/>
        <w:ind w:left="360"/>
        <w:jc w:val="both"/>
        <w:rPr>
          <w:rFonts w:ascii="Arial" w:hAnsi="Arial"/>
          <w:rtl/>
        </w:rPr>
      </w:pPr>
      <w:r>
        <w:rPr>
          <w:rFonts w:ascii="Arial" w:hAnsi="Arial" w:hint="cs"/>
          <w:rtl/>
        </w:rPr>
        <w:t xml:space="preserve">באותן נסיבות נכנס המשיב לתוך הרכב, תוך שהחל לנהוג ברכב מבלי שיש ברשותו רישיון נהיגה (בלתי מורשה) וללא ביטוח. </w:t>
      </w:r>
    </w:p>
    <w:p w:rsidR="002B5B71" w:rsidRDefault="002B5B71" w:rsidP="002B5B71">
      <w:pPr>
        <w:pStyle w:val="ab"/>
        <w:spacing w:line="360" w:lineRule="auto"/>
        <w:ind w:left="360"/>
        <w:jc w:val="both"/>
        <w:rPr>
          <w:rFonts w:ascii="Arial" w:hAnsi="Arial"/>
          <w:rtl/>
        </w:rPr>
      </w:pPr>
      <w:r>
        <w:rPr>
          <w:rFonts w:ascii="Arial" w:hAnsi="Arial" w:hint="cs"/>
          <w:rtl/>
        </w:rPr>
        <w:t>בהמשך נהג המשיב את הרכב</w:t>
      </w:r>
      <w:r w:rsidR="000327C0">
        <w:rPr>
          <w:rFonts w:ascii="Arial" w:hAnsi="Arial" w:hint="cs"/>
          <w:rtl/>
        </w:rPr>
        <w:t xml:space="preserve"> הגנוב ברחוב הקוממיות בחולון, תוך שנהג בדרך נמהרת שיש בה כדי לסכן חיי אדם או לגרום חבלה וחלף על פני מספר רמזורים באור אדום. </w:t>
      </w:r>
    </w:p>
    <w:p w:rsidR="000327C0" w:rsidRDefault="000327C0" w:rsidP="002B5B71">
      <w:pPr>
        <w:pStyle w:val="ab"/>
        <w:spacing w:line="360" w:lineRule="auto"/>
        <w:ind w:left="360"/>
        <w:jc w:val="both"/>
        <w:rPr>
          <w:rFonts w:ascii="Arial" w:hAnsi="Arial"/>
          <w:rtl/>
        </w:rPr>
      </w:pPr>
      <w:r>
        <w:rPr>
          <w:rFonts w:ascii="Arial" w:hAnsi="Arial" w:hint="cs"/>
          <w:rtl/>
        </w:rPr>
        <w:t xml:space="preserve">בהמשך, עת הגיע לרחוב </w:t>
      </w:r>
      <w:proofErr w:type="spellStart"/>
      <w:r>
        <w:rPr>
          <w:rFonts w:ascii="Arial" w:hAnsi="Arial" w:hint="cs"/>
          <w:rtl/>
        </w:rPr>
        <w:t>ניסנבוים</w:t>
      </w:r>
      <w:proofErr w:type="spellEnd"/>
      <w:r>
        <w:rPr>
          <w:rFonts w:ascii="Arial" w:hAnsi="Arial" w:hint="cs"/>
          <w:rtl/>
        </w:rPr>
        <w:t xml:space="preserve"> בבת ים, כרזו שוטרים למשיב לעצור את הרכב, המשיב הסיט את ההגה לכיוון אחד השוטרים בנסיעה מהירה, עד שהשוטר נאלץ לירות שתי יריות לעבר גלגלי הרכב. </w:t>
      </w:r>
    </w:p>
    <w:p w:rsidR="000327C0" w:rsidRDefault="000327C0" w:rsidP="000327C0">
      <w:pPr>
        <w:pStyle w:val="ab"/>
        <w:spacing w:line="360" w:lineRule="auto"/>
        <w:ind w:left="360"/>
        <w:jc w:val="both"/>
        <w:rPr>
          <w:rFonts w:ascii="Arial" w:hAnsi="Arial"/>
          <w:rtl/>
        </w:rPr>
      </w:pPr>
      <w:r>
        <w:rPr>
          <w:rFonts w:ascii="Arial" w:hAnsi="Arial" w:hint="cs"/>
          <w:rtl/>
        </w:rPr>
        <w:t xml:space="preserve">בהמשך המשיך המשיב בנהיגתו, עד שהגיע לתחנת דלק היובל, יצא מהרכב והחל במנוסה רגלית, עד שנעצר על-ידי השוטרים בסמוך לבית מגורים בחולון. </w:t>
      </w:r>
    </w:p>
    <w:p w:rsidR="002B5B71" w:rsidRPr="002B5B71" w:rsidRDefault="002B5B71" w:rsidP="002B5B71">
      <w:pPr>
        <w:pStyle w:val="ab"/>
        <w:rPr>
          <w:rFonts w:ascii="Arial" w:hAnsi="Arial"/>
          <w:rtl/>
        </w:rPr>
      </w:pPr>
    </w:p>
    <w:p w:rsidR="002B5B71" w:rsidRDefault="000327C0" w:rsidP="000327C0">
      <w:pPr>
        <w:pStyle w:val="ab"/>
        <w:numPr>
          <w:ilvl w:val="0"/>
          <w:numId w:val="3"/>
        </w:numPr>
        <w:spacing w:line="360" w:lineRule="auto"/>
        <w:jc w:val="both"/>
        <w:rPr>
          <w:rFonts w:ascii="Arial" w:hAnsi="Arial"/>
        </w:rPr>
      </w:pPr>
      <w:r>
        <w:rPr>
          <w:rFonts w:ascii="Arial" w:hAnsi="Arial" w:hint="cs"/>
          <w:rtl/>
        </w:rPr>
        <w:t xml:space="preserve">בישיבת יום 24.11.2024 הסכימה הסנגורית המלומדת לקיומה של תשתית ראייתית לכאורית, ומשכך קמה ועולה עילת מעצר מסוג מסוכנות. </w:t>
      </w:r>
    </w:p>
    <w:p w:rsidR="000327C0" w:rsidRDefault="000327C0" w:rsidP="000327C0">
      <w:pPr>
        <w:pStyle w:val="ab"/>
        <w:spacing w:line="360" w:lineRule="auto"/>
        <w:ind w:left="360"/>
        <w:jc w:val="both"/>
        <w:rPr>
          <w:rFonts w:ascii="Arial" w:hAnsi="Arial"/>
          <w:rtl/>
        </w:rPr>
      </w:pPr>
      <w:r>
        <w:rPr>
          <w:rFonts w:ascii="Arial" w:hAnsi="Arial" w:hint="cs"/>
          <w:rtl/>
        </w:rPr>
        <w:lastRenderedPageBreak/>
        <w:t xml:space="preserve">באותה ישיבה ציינה הסנגורית כי מסוכנותו של המשיב אינה ברמה גבוהה ובתוך כך הציעה כי המשיב, הגם שהוא תושב האזור, ללא היתר שהיה בישראל, ישהה במעצר </w:t>
      </w:r>
      <w:proofErr w:type="spellStart"/>
      <w:r>
        <w:rPr>
          <w:rFonts w:ascii="Arial" w:hAnsi="Arial" w:hint="cs"/>
          <w:rtl/>
        </w:rPr>
        <w:t>באיזוק</w:t>
      </w:r>
      <w:proofErr w:type="spellEnd"/>
      <w:r>
        <w:rPr>
          <w:rFonts w:ascii="Arial" w:hAnsi="Arial" w:hint="cs"/>
          <w:rtl/>
        </w:rPr>
        <w:t xml:space="preserve"> בבית סבו בשכונת בית </w:t>
      </w:r>
      <w:proofErr w:type="spellStart"/>
      <w:r>
        <w:rPr>
          <w:rFonts w:ascii="Arial" w:hAnsi="Arial" w:hint="cs"/>
          <w:rtl/>
        </w:rPr>
        <w:t>חנינא</w:t>
      </w:r>
      <w:proofErr w:type="spellEnd"/>
      <w:r>
        <w:rPr>
          <w:rFonts w:ascii="Arial" w:hAnsi="Arial" w:hint="cs"/>
          <w:rtl/>
        </w:rPr>
        <w:t xml:space="preserve"> בירושלים.</w:t>
      </w:r>
    </w:p>
    <w:p w:rsidR="000327C0" w:rsidRDefault="000327C0" w:rsidP="000327C0">
      <w:pPr>
        <w:pStyle w:val="ab"/>
        <w:spacing w:line="360" w:lineRule="auto"/>
        <w:ind w:left="360"/>
        <w:jc w:val="both"/>
        <w:rPr>
          <w:rFonts w:ascii="Arial" w:hAnsi="Arial"/>
          <w:rtl/>
        </w:rPr>
      </w:pPr>
      <w:r>
        <w:rPr>
          <w:rFonts w:ascii="Arial" w:hAnsi="Arial" w:hint="cs"/>
          <w:rtl/>
        </w:rPr>
        <w:t xml:space="preserve">ב"כ המבקשת התנגדה לבקשה ועתרה למעצרו של המשיב עד לתום ההליכים. </w:t>
      </w:r>
    </w:p>
    <w:p w:rsidR="000327C0" w:rsidRDefault="000327C0" w:rsidP="00FA014E">
      <w:pPr>
        <w:pStyle w:val="ab"/>
        <w:spacing w:line="360" w:lineRule="auto"/>
        <w:ind w:left="360"/>
        <w:jc w:val="both"/>
        <w:rPr>
          <w:rFonts w:ascii="Arial" w:hAnsi="Arial"/>
          <w:rtl/>
        </w:rPr>
      </w:pPr>
      <w:r>
        <w:rPr>
          <w:rFonts w:ascii="Arial" w:hAnsi="Arial" w:hint="cs"/>
          <w:rtl/>
        </w:rPr>
        <w:t xml:space="preserve">בית המשפט (כבוד השופט בני דורון) האריך את מעצרו של המשיב עד להחלטה אחרת ובתוך כך </w:t>
      </w:r>
      <w:r w:rsidR="00FA014E">
        <w:rPr>
          <w:rFonts w:ascii="Arial" w:hAnsi="Arial" w:hint="cs"/>
          <w:rtl/>
        </w:rPr>
        <w:t xml:space="preserve">ציין כי בקשתה של ההגנה הינה בקשה מורכבת, ובתוך כך דחה הדיון לטיעוני הצדדים בסוגיה זו, לרבות הצגת פסיקה והזמין ממנהלת </w:t>
      </w:r>
      <w:proofErr w:type="spellStart"/>
      <w:r w:rsidR="00FA014E">
        <w:rPr>
          <w:rFonts w:ascii="Arial" w:hAnsi="Arial" w:hint="cs"/>
          <w:rtl/>
        </w:rPr>
        <w:t>האיזוק</w:t>
      </w:r>
      <w:proofErr w:type="spellEnd"/>
      <w:r w:rsidR="00FA014E">
        <w:rPr>
          <w:rFonts w:ascii="Arial" w:hAnsi="Arial" w:hint="cs"/>
          <w:rtl/>
        </w:rPr>
        <w:t xml:space="preserve"> חוות דעת היתכנות לכתובת המבוקשת. </w:t>
      </w:r>
    </w:p>
    <w:p w:rsidR="000327C0" w:rsidRDefault="000327C0" w:rsidP="000327C0">
      <w:pPr>
        <w:pStyle w:val="ab"/>
        <w:spacing w:line="360" w:lineRule="auto"/>
        <w:ind w:left="360"/>
        <w:jc w:val="both"/>
        <w:rPr>
          <w:rFonts w:ascii="Arial" w:hAnsi="Arial"/>
        </w:rPr>
      </w:pPr>
    </w:p>
    <w:p w:rsidR="000327C0" w:rsidRDefault="00FA014E" w:rsidP="001413F0">
      <w:pPr>
        <w:pStyle w:val="ab"/>
        <w:numPr>
          <w:ilvl w:val="0"/>
          <w:numId w:val="3"/>
        </w:numPr>
        <w:spacing w:line="360" w:lineRule="auto"/>
        <w:jc w:val="both"/>
        <w:rPr>
          <w:rFonts w:ascii="Arial" w:hAnsi="Arial"/>
        </w:rPr>
      </w:pPr>
      <w:r>
        <w:rPr>
          <w:rFonts w:ascii="Arial" w:hAnsi="Arial" w:hint="cs"/>
          <w:rtl/>
        </w:rPr>
        <w:t xml:space="preserve">חוות דעת היתכנות מאת מנהלת </w:t>
      </w:r>
      <w:proofErr w:type="spellStart"/>
      <w:r>
        <w:rPr>
          <w:rFonts w:ascii="Arial" w:hAnsi="Arial" w:hint="cs"/>
          <w:rtl/>
        </w:rPr>
        <w:t>האיזוק</w:t>
      </w:r>
      <w:proofErr w:type="spellEnd"/>
      <w:r>
        <w:rPr>
          <w:rFonts w:ascii="Arial" w:hAnsi="Arial" w:hint="cs"/>
          <w:rtl/>
        </w:rPr>
        <w:t xml:space="preserve"> הוגשה לתיק בית המשפט ומצאה את בית סבו של המשיב כמקום ישים להתקנת </w:t>
      </w:r>
      <w:proofErr w:type="spellStart"/>
      <w:r>
        <w:rPr>
          <w:rFonts w:ascii="Arial" w:hAnsi="Arial" w:hint="cs"/>
          <w:rtl/>
        </w:rPr>
        <w:t>איזוק</w:t>
      </w:r>
      <w:proofErr w:type="spellEnd"/>
      <w:r>
        <w:rPr>
          <w:rFonts w:ascii="Arial" w:hAnsi="Arial" w:hint="cs"/>
          <w:rtl/>
        </w:rPr>
        <w:t xml:space="preserve"> אלקטרוני. </w:t>
      </w:r>
    </w:p>
    <w:p w:rsidR="00FA014E" w:rsidRDefault="00FA014E" w:rsidP="00FA014E">
      <w:pPr>
        <w:pStyle w:val="ab"/>
        <w:spacing w:line="360" w:lineRule="auto"/>
        <w:ind w:left="360"/>
        <w:jc w:val="both"/>
        <w:rPr>
          <w:rFonts w:ascii="Arial" w:hAnsi="Arial"/>
        </w:rPr>
      </w:pPr>
    </w:p>
    <w:p w:rsidR="00FA014E" w:rsidRDefault="00FA014E" w:rsidP="00FA014E">
      <w:pPr>
        <w:pStyle w:val="ab"/>
        <w:numPr>
          <w:ilvl w:val="0"/>
          <w:numId w:val="3"/>
        </w:numPr>
        <w:spacing w:line="360" w:lineRule="auto"/>
        <w:jc w:val="both"/>
        <w:rPr>
          <w:rFonts w:ascii="Arial" w:hAnsi="Arial"/>
        </w:rPr>
      </w:pPr>
      <w:r w:rsidRPr="00FA014E">
        <w:rPr>
          <w:rFonts w:ascii="Arial" w:hAnsi="Arial" w:hint="cs"/>
          <w:b/>
          <w:bCs/>
          <w:rtl/>
        </w:rPr>
        <w:t>התובעת המלומדת</w:t>
      </w:r>
      <w:r>
        <w:rPr>
          <w:rFonts w:ascii="Arial" w:hAnsi="Arial" w:hint="cs"/>
          <w:rtl/>
        </w:rPr>
        <w:t xml:space="preserve"> התנגדה למעצרו של המשיב </w:t>
      </w:r>
      <w:proofErr w:type="spellStart"/>
      <w:r>
        <w:rPr>
          <w:rFonts w:ascii="Arial" w:hAnsi="Arial" w:hint="cs"/>
          <w:rtl/>
        </w:rPr>
        <w:t>באיזוק</w:t>
      </w:r>
      <w:proofErr w:type="spellEnd"/>
      <w:r>
        <w:rPr>
          <w:rFonts w:ascii="Arial" w:hAnsi="Arial" w:hint="cs"/>
          <w:rtl/>
        </w:rPr>
        <w:t xml:space="preserve"> אלקטרוני בתחומי מדינת ישראל וטענה שבית המשפט, בתוך כך למעשה מכשיר את השהיה הבלתי חוקית. </w:t>
      </w:r>
    </w:p>
    <w:p w:rsidR="00FA014E" w:rsidRPr="00FA014E" w:rsidRDefault="00FA014E" w:rsidP="00FA014E">
      <w:pPr>
        <w:spacing w:line="360" w:lineRule="auto"/>
        <w:ind w:left="360"/>
        <w:rPr>
          <w:rFonts w:ascii="Arial" w:hAnsi="Arial"/>
          <w:rtl/>
        </w:rPr>
      </w:pPr>
      <w:r>
        <w:rPr>
          <w:rFonts w:ascii="Arial" w:hAnsi="Arial" w:hint="cs"/>
          <w:rtl/>
        </w:rPr>
        <w:t xml:space="preserve">הפנתה לנסיבות ביצוע העבירות לכאורה ולמסוכנות הרבה הנשקפת מאת המשיב. </w:t>
      </w:r>
    </w:p>
    <w:p w:rsidR="00FA014E" w:rsidRDefault="00FA014E" w:rsidP="0042604F">
      <w:pPr>
        <w:pStyle w:val="ab"/>
        <w:spacing w:line="360" w:lineRule="auto"/>
        <w:ind w:left="360"/>
        <w:jc w:val="both"/>
        <w:rPr>
          <w:rFonts w:ascii="Arial" w:hAnsi="Arial"/>
          <w:rtl/>
        </w:rPr>
      </w:pPr>
      <w:r>
        <w:rPr>
          <w:rFonts w:ascii="Arial" w:hAnsi="Arial" w:hint="cs"/>
          <w:rtl/>
        </w:rPr>
        <w:t xml:space="preserve">הפנתה לפסיקתו של בית המשפט העליון ובין היתר להחלטתו של מ"מ נשיא בית המשפט העליון, כבוד השופט עמית, במסגרת </w:t>
      </w:r>
      <w:proofErr w:type="spellStart"/>
      <w:r w:rsidRPr="00FA014E">
        <w:rPr>
          <w:rFonts w:ascii="Arial" w:hAnsi="Arial" w:hint="cs"/>
          <w:b/>
          <w:bCs/>
          <w:rtl/>
        </w:rPr>
        <w:t>בש"פ</w:t>
      </w:r>
      <w:proofErr w:type="spellEnd"/>
      <w:r>
        <w:rPr>
          <w:rFonts w:ascii="Arial" w:hAnsi="Arial" w:hint="cs"/>
          <w:rtl/>
        </w:rPr>
        <w:t xml:space="preserve"> </w:t>
      </w:r>
      <w:r>
        <w:rPr>
          <w:rFonts w:ascii="Arial" w:hAnsi="Arial" w:hint="cs"/>
          <w:b/>
          <w:bCs/>
          <w:rtl/>
        </w:rPr>
        <w:t xml:space="preserve">2593/24 פלוני נגד מדינת ישראל (2024), </w:t>
      </w:r>
      <w:r>
        <w:rPr>
          <w:rFonts w:ascii="Arial" w:hAnsi="Arial" w:hint="cs"/>
          <w:rtl/>
        </w:rPr>
        <w:t>שם נדחתה בקשת רשות ערעור שהוגשה מטעמו של קטין</w:t>
      </w:r>
      <w:r w:rsidR="0042604F">
        <w:rPr>
          <w:rFonts w:ascii="Arial" w:hAnsi="Arial" w:hint="cs"/>
          <w:rtl/>
        </w:rPr>
        <w:t xml:space="preserve"> שנכנס לישראל שלא כדין והיה מעורב בניסיון גניבת רכב בצוותא </w:t>
      </w:r>
      <w:proofErr w:type="spellStart"/>
      <w:r w:rsidR="0042604F">
        <w:rPr>
          <w:rFonts w:ascii="Arial" w:hAnsi="Arial" w:hint="cs"/>
          <w:rtl/>
        </w:rPr>
        <w:t>חדא</w:t>
      </w:r>
      <w:proofErr w:type="spellEnd"/>
      <w:r w:rsidR="0042604F">
        <w:rPr>
          <w:rFonts w:ascii="Arial" w:hAnsi="Arial" w:hint="cs"/>
          <w:rtl/>
        </w:rPr>
        <w:t xml:space="preserve"> והחלטה בדבר מעצרו עד לתום ההליכים נותרה על כנה ובין היתר לאור הסיכון הקיים בכניסה לישראל שלא כדין בזמן מלחמה וביצוע עבירות. </w:t>
      </w:r>
    </w:p>
    <w:p w:rsidR="0042604F" w:rsidRDefault="0042604F" w:rsidP="0042604F">
      <w:pPr>
        <w:pStyle w:val="ab"/>
        <w:spacing w:line="360" w:lineRule="auto"/>
        <w:ind w:left="360"/>
        <w:jc w:val="both"/>
        <w:rPr>
          <w:rFonts w:ascii="Arial" w:hAnsi="Arial"/>
          <w:rtl/>
        </w:rPr>
      </w:pPr>
      <w:r>
        <w:rPr>
          <w:rFonts w:ascii="Arial" w:hAnsi="Arial" w:hint="cs"/>
          <w:rtl/>
        </w:rPr>
        <w:t xml:space="preserve">התובעת הפנתה לחוק המעצרים, לסעיף 22ב(ב)(3), לפיו לא יוטל מעצר </w:t>
      </w:r>
      <w:proofErr w:type="spellStart"/>
      <w:r>
        <w:rPr>
          <w:rFonts w:ascii="Arial" w:hAnsi="Arial" w:hint="cs"/>
          <w:rtl/>
        </w:rPr>
        <w:t>באיזוק</w:t>
      </w:r>
      <w:proofErr w:type="spellEnd"/>
      <w:r>
        <w:rPr>
          <w:rFonts w:ascii="Arial" w:hAnsi="Arial" w:hint="cs"/>
          <w:rtl/>
        </w:rPr>
        <w:t xml:space="preserve"> אלקטרוני על מי שנאשם, בין היתר, בעבירת שהיה בלתי חוקית בישראל אלא מטעמים מיוחדים שיירשמו. </w:t>
      </w:r>
    </w:p>
    <w:p w:rsidR="0042604F" w:rsidRDefault="0042604F" w:rsidP="0042604F">
      <w:pPr>
        <w:pStyle w:val="ab"/>
        <w:spacing w:line="360" w:lineRule="auto"/>
        <w:ind w:left="360"/>
        <w:jc w:val="both"/>
        <w:rPr>
          <w:rFonts w:ascii="Arial" w:hAnsi="Arial"/>
          <w:rtl/>
        </w:rPr>
      </w:pPr>
      <w:r>
        <w:rPr>
          <w:rFonts w:ascii="Arial" w:hAnsi="Arial" w:hint="cs"/>
          <w:rtl/>
        </w:rPr>
        <w:t xml:space="preserve">התובעת סבורה כי אין בענייננו טעמים מיוחדים או נסיבות הומניטריות להותרת המשיב בישראל וגם לא בתנאים של מעצר </w:t>
      </w:r>
      <w:proofErr w:type="spellStart"/>
      <w:r>
        <w:rPr>
          <w:rFonts w:ascii="Arial" w:hAnsi="Arial" w:hint="cs"/>
          <w:rtl/>
        </w:rPr>
        <w:t>באיזוק</w:t>
      </w:r>
      <w:proofErr w:type="spellEnd"/>
      <w:r>
        <w:rPr>
          <w:rFonts w:ascii="Arial" w:hAnsi="Arial" w:hint="cs"/>
          <w:rtl/>
        </w:rPr>
        <w:t xml:space="preserve"> אלקטרוני. </w:t>
      </w:r>
    </w:p>
    <w:p w:rsidR="00FA014E" w:rsidRPr="0042604F" w:rsidRDefault="00FA014E" w:rsidP="00FA014E">
      <w:pPr>
        <w:pStyle w:val="ab"/>
        <w:spacing w:line="360" w:lineRule="auto"/>
        <w:rPr>
          <w:rFonts w:ascii="Arial" w:hAnsi="Arial"/>
          <w:rtl/>
        </w:rPr>
      </w:pPr>
    </w:p>
    <w:p w:rsidR="00FA014E" w:rsidRDefault="00E121A6" w:rsidP="00FA014E">
      <w:pPr>
        <w:pStyle w:val="ab"/>
        <w:numPr>
          <w:ilvl w:val="0"/>
          <w:numId w:val="3"/>
        </w:numPr>
        <w:spacing w:line="360" w:lineRule="auto"/>
        <w:jc w:val="both"/>
        <w:rPr>
          <w:rFonts w:ascii="Arial" w:hAnsi="Arial"/>
        </w:rPr>
      </w:pPr>
      <w:r w:rsidRPr="00E121A6">
        <w:rPr>
          <w:rFonts w:ascii="Arial" w:hAnsi="Arial" w:hint="cs"/>
          <w:b/>
          <w:bCs/>
          <w:rtl/>
        </w:rPr>
        <w:t>הסנגורית המלומדת</w:t>
      </w:r>
      <w:r>
        <w:rPr>
          <w:rFonts w:ascii="Arial" w:hAnsi="Arial" w:hint="cs"/>
          <w:rtl/>
        </w:rPr>
        <w:t xml:space="preserve"> עשתה ככל שניתן לטובת המשיב. </w:t>
      </w:r>
    </w:p>
    <w:p w:rsidR="00E121A6" w:rsidRDefault="00E121A6" w:rsidP="00E121A6">
      <w:pPr>
        <w:pStyle w:val="ab"/>
        <w:spacing w:line="360" w:lineRule="auto"/>
        <w:ind w:left="360"/>
        <w:jc w:val="both"/>
        <w:rPr>
          <w:rFonts w:ascii="Arial" w:hAnsi="Arial"/>
          <w:rtl/>
        </w:rPr>
      </w:pPr>
      <w:r>
        <w:rPr>
          <w:rFonts w:ascii="Arial" w:hAnsi="Arial" w:hint="cs"/>
          <w:rtl/>
        </w:rPr>
        <w:t xml:space="preserve">הסנגורית לא ביקשה להקל מהמיוחס למשיב ומחומרת המעשים וציינה כי עתירתה למעצרו של המשיב </w:t>
      </w:r>
      <w:proofErr w:type="spellStart"/>
      <w:r>
        <w:rPr>
          <w:rFonts w:ascii="Arial" w:hAnsi="Arial" w:hint="cs"/>
          <w:rtl/>
        </w:rPr>
        <w:t>באיזוק</w:t>
      </w:r>
      <w:proofErr w:type="spellEnd"/>
      <w:r>
        <w:rPr>
          <w:rFonts w:ascii="Arial" w:hAnsi="Arial" w:hint="cs"/>
          <w:rtl/>
        </w:rPr>
        <w:t xml:space="preserve"> אלקטרוני בישראל הולם את חומרת המעשים המיוחסים למשיב ובתוך כך המסוכנות מהם, שאחרת </w:t>
      </w:r>
      <w:proofErr w:type="spellStart"/>
      <w:r>
        <w:rPr>
          <w:rFonts w:ascii="Arial" w:hAnsi="Arial" w:hint="cs"/>
          <w:rtl/>
        </w:rPr>
        <w:t>היתה</w:t>
      </w:r>
      <w:proofErr w:type="spellEnd"/>
      <w:r>
        <w:rPr>
          <w:rFonts w:ascii="Arial" w:hAnsi="Arial" w:hint="cs"/>
          <w:rtl/>
        </w:rPr>
        <w:t xml:space="preserve"> מציעה מעצר בית בישראל. </w:t>
      </w:r>
    </w:p>
    <w:p w:rsidR="00E121A6" w:rsidRDefault="00E121A6" w:rsidP="00E121A6">
      <w:pPr>
        <w:pStyle w:val="ab"/>
        <w:spacing w:line="360" w:lineRule="auto"/>
        <w:ind w:left="360"/>
        <w:jc w:val="both"/>
        <w:rPr>
          <w:rFonts w:ascii="Arial" w:hAnsi="Arial"/>
          <w:rtl/>
        </w:rPr>
      </w:pPr>
      <w:r>
        <w:rPr>
          <w:rFonts w:ascii="Arial" w:hAnsi="Arial" w:hint="cs"/>
          <w:rtl/>
        </w:rPr>
        <w:t xml:space="preserve">הסנגורית סבורה כי מתקיימים אותן נסיבות אנושיות וחריגות בעניינו של המשיב לקביעת חלופת מעצר או מעצר </w:t>
      </w:r>
      <w:proofErr w:type="spellStart"/>
      <w:r>
        <w:rPr>
          <w:rFonts w:ascii="Arial" w:hAnsi="Arial" w:hint="cs"/>
          <w:rtl/>
        </w:rPr>
        <w:t>באיזוק</w:t>
      </w:r>
      <w:proofErr w:type="spellEnd"/>
      <w:r>
        <w:rPr>
          <w:rFonts w:ascii="Arial" w:hAnsi="Arial" w:hint="cs"/>
          <w:rtl/>
        </w:rPr>
        <w:t xml:space="preserve"> בישראל, לאור העובדה כי המשיב נשוי ואב לשלושה ילדים קטינים, נעדר כל עבר פלילי וקיימת זיקה לישראל, שכן חלק ממשפחתו מתגוררת בישראל, כך סבו שהוא אזרח ישראלי המתגורר בשכונת בית </w:t>
      </w:r>
      <w:proofErr w:type="spellStart"/>
      <w:r>
        <w:rPr>
          <w:rFonts w:ascii="Arial" w:hAnsi="Arial" w:hint="cs"/>
          <w:rtl/>
        </w:rPr>
        <w:t>חנינא</w:t>
      </w:r>
      <w:proofErr w:type="spellEnd"/>
      <w:r>
        <w:rPr>
          <w:rFonts w:ascii="Arial" w:hAnsi="Arial" w:hint="cs"/>
          <w:rtl/>
        </w:rPr>
        <w:t xml:space="preserve"> בירושלים, אמו וגיסו. </w:t>
      </w:r>
    </w:p>
    <w:p w:rsidR="00E121A6" w:rsidRDefault="00E121A6" w:rsidP="00E121A6">
      <w:pPr>
        <w:pStyle w:val="ab"/>
        <w:spacing w:line="360" w:lineRule="auto"/>
        <w:ind w:left="360"/>
        <w:jc w:val="both"/>
        <w:rPr>
          <w:rFonts w:ascii="Arial" w:hAnsi="Arial"/>
          <w:rtl/>
        </w:rPr>
      </w:pPr>
      <w:r>
        <w:rPr>
          <w:rFonts w:ascii="Arial" w:hAnsi="Arial" w:hint="cs"/>
          <w:rtl/>
        </w:rPr>
        <w:t xml:space="preserve">הסנגורית טענה כי בכל תיק ותיק, גם בתיקים של שוהים בלתי חוקיים בישראל וגם אם מיוחסות להם עבירות נוספות, על בית המשפט לשקול חלופת מעצר כמצוות המחוקק, ובתוך כך נמצאה כתובת בישראל למעצר </w:t>
      </w:r>
      <w:proofErr w:type="spellStart"/>
      <w:r>
        <w:rPr>
          <w:rFonts w:ascii="Arial" w:hAnsi="Arial" w:hint="cs"/>
          <w:rtl/>
        </w:rPr>
        <w:t>באיזוק</w:t>
      </w:r>
      <w:proofErr w:type="spellEnd"/>
      <w:r>
        <w:rPr>
          <w:rFonts w:ascii="Arial" w:hAnsi="Arial" w:hint="cs"/>
          <w:rtl/>
        </w:rPr>
        <w:t xml:space="preserve"> אלקטרוני לצד מפקחים, בני משפחתו של המשיב, אזרחי ישראל, יש להורות על כך, שכן תנאים אלה יאיינו את המסוכנות הנטענת ביחס למשיב.</w:t>
      </w:r>
    </w:p>
    <w:p w:rsidR="00E121A6" w:rsidRDefault="00E121A6" w:rsidP="00E121A6">
      <w:pPr>
        <w:pStyle w:val="ab"/>
        <w:spacing w:line="360" w:lineRule="auto"/>
        <w:ind w:left="360"/>
        <w:jc w:val="both"/>
        <w:rPr>
          <w:rFonts w:ascii="Arial" w:hAnsi="Arial"/>
          <w:b/>
          <w:bCs/>
          <w:rtl/>
        </w:rPr>
      </w:pPr>
      <w:r>
        <w:rPr>
          <w:rFonts w:ascii="Arial" w:hAnsi="Arial" w:hint="cs"/>
          <w:rtl/>
        </w:rPr>
        <w:lastRenderedPageBreak/>
        <w:t>הסנגורית הפנתה לפסיקתו של בית המשפט המחוזי בחיפה</w:t>
      </w:r>
      <w:r w:rsidR="00FB3F21">
        <w:rPr>
          <w:rFonts w:ascii="Arial" w:hAnsi="Arial" w:hint="cs"/>
          <w:rtl/>
        </w:rPr>
        <w:t xml:space="preserve"> אשר לאפשרות מעצר </w:t>
      </w:r>
      <w:proofErr w:type="spellStart"/>
      <w:r w:rsidR="00FB3F21">
        <w:rPr>
          <w:rFonts w:ascii="Arial" w:hAnsi="Arial" w:hint="cs"/>
          <w:rtl/>
        </w:rPr>
        <w:t>באיזוק</w:t>
      </w:r>
      <w:proofErr w:type="spellEnd"/>
      <w:r w:rsidR="00FB3F21">
        <w:rPr>
          <w:rFonts w:ascii="Arial" w:hAnsi="Arial" w:hint="cs"/>
          <w:rtl/>
        </w:rPr>
        <w:t xml:space="preserve"> בישראל </w:t>
      </w:r>
      <w:r w:rsidR="00FB3F21">
        <w:rPr>
          <w:rFonts w:ascii="Arial" w:hAnsi="Arial"/>
          <w:rtl/>
        </w:rPr>
        <w:t>–</w:t>
      </w:r>
      <w:r w:rsidR="00FB3F21">
        <w:rPr>
          <w:rFonts w:ascii="Arial" w:hAnsi="Arial" w:hint="cs"/>
          <w:rtl/>
        </w:rPr>
        <w:t xml:space="preserve"> </w:t>
      </w:r>
      <w:proofErr w:type="spellStart"/>
      <w:r w:rsidR="00FB3F21">
        <w:rPr>
          <w:rFonts w:ascii="Arial" w:hAnsi="Arial" w:hint="cs"/>
          <w:b/>
          <w:bCs/>
          <w:rtl/>
        </w:rPr>
        <w:t>מ"ת</w:t>
      </w:r>
      <w:proofErr w:type="spellEnd"/>
      <w:r w:rsidR="00FB3F21">
        <w:rPr>
          <w:rFonts w:ascii="Arial" w:hAnsi="Arial" w:hint="cs"/>
          <w:b/>
          <w:bCs/>
          <w:rtl/>
        </w:rPr>
        <w:t xml:space="preserve"> 23684-12-19 מדינת ישראל נגד </w:t>
      </w:r>
      <w:proofErr w:type="spellStart"/>
      <w:r w:rsidR="00FB3F21">
        <w:rPr>
          <w:rFonts w:ascii="Arial" w:hAnsi="Arial" w:hint="cs"/>
          <w:b/>
          <w:bCs/>
          <w:rtl/>
        </w:rPr>
        <w:t>גרבאן</w:t>
      </w:r>
      <w:proofErr w:type="spellEnd"/>
      <w:r w:rsidR="00FB3F21">
        <w:rPr>
          <w:rFonts w:ascii="Arial" w:hAnsi="Arial" w:hint="cs"/>
          <w:b/>
          <w:bCs/>
          <w:rtl/>
        </w:rPr>
        <w:t xml:space="preserve"> (10.02.20)</w:t>
      </w:r>
      <w:r w:rsidR="00FB3F21">
        <w:rPr>
          <w:rFonts w:ascii="Arial" w:hAnsi="Arial" w:hint="cs"/>
          <w:rtl/>
        </w:rPr>
        <w:t xml:space="preserve"> וכן להחלטותיו של בית המשפט המחוזי בתל אביב, במסגרת </w:t>
      </w:r>
      <w:proofErr w:type="spellStart"/>
      <w:r w:rsidR="00FB3F21">
        <w:rPr>
          <w:rFonts w:ascii="Arial" w:hAnsi="Arial" w:hint="cs"/>
          <w:b/>
          <w:bCs/>
          <w:rtl/>
        </w:rPr>
        <w:t>עמ"ת</w:t>
      </w:r>
      <w:proofErr w:type="spellEnd"/>
      <w:r w:rsidR="00FB3F21">
        <w:rPr>
          <w:rFonts w:ascii="Arial" w:hAnsi="Arial" w:hint="cs"/>
          <w:b/>
          <w:bCs/>
          <w:rtl/>
        </w:rPr>
        <w:t xml:space="preserve"> 14794-11-24 מדינת ישראל נגד מוכחל (11.11.24); </w:t>
      </w:r>
      <w:proofErr w:type="spellStart"/>
      <w:r w:rsidR="00FB3F21">
        <w:rPr>
          <w:rFonts w:ascii="Arial" w:hAnsi="Arial" w:hint="cs"/>
          <w:b/>
          <w:bCs/>
          <w:rtl/>
        </w:rPr>
        <w:t>עמ"ת</w:t>
      </w:r>
      <w:proofErr w:type="spellEnd"/>
      <w:r w:rsidR="00FB3F21">
        <w:rPr>
          <w:rFonts w:ascii="Arial" w:hAnsi="Arial" w:hint="cs"/>
          <w:b/>
          <w:bCs/>
          <w:rtl/>
        </w:rPr>
        <w:t xml:space="preserve"> 3034-12-24 מדינת ישראל נגד </w:t>
      </w:r>
      <w:proofErr w:type="spellStart"/>
      <w:r w:rsidR="00FB3F21">
        <w:rPr>
          <w:rFonts w:ascii="Arial" w:hAnsi="Arial" w:hint="cs"/>
          <w:b/>
          <w:bCs/>
          <w:rtl/>
        </w:rPr>
        <w:t>והדאן</w:t>
      </w:r>
      <w:proofErr w:type="spellEnd"/>
      <w:r w:rsidR="00FB3F21">
        <w:rPr>
          <w:rFonts w:ascii="Arial" w:hAnsi="Arial" w:hint="cs"/>
          <w:b/>
          <w:bCs/>
          <w:rtl/>
        </w:rPr>
        <w:t xml:space="preserve"> (9.12.24). </w:t>
      </w:r>
    </w:p>
    <w:p w:rsidR="00E121A6" w:rsidRDefault="00E121A6" w:rsidP="00E121A6">
      <w:pPr>
        <w:spacing w:line="360" w:lineRule="auto"/>
        <w:jc w:val="both"/>
        <w:rPr>
          <w:rFonts w:ascii="Arial" w:hAnsi="Arial"/>
          <w:rtl/>
        </w:rPr>
      </w:pPr>
    </w:p>
    <w:p w:rsidR="00E121A6" w:rsidRPr="00E121A6" w:rsidRDefault="00E121A6" w:rsidP="00E121A6">
      <w:pPr>
        <w:spacing w:line="360" w:lineRule="auto"/>
        <w:jc w:val="both"/>
        <w:rPr>
          <w:rFonts w:ascii="Arial" w:hAnsi="Arial"/>
          <w:b/>
          <w:bCs/>
          <w:u w:val="single"/>
        </w:rPr>
      </w:pPr>
      <w:r w:rsidRPr="00E121A6">
        <w:rPr>
          <w:rFonts w:ascii="Arial" w:hAnsi="Arial" w:hint="cs"/>
          <w:b/>
          <w:bCs/>
          <w:u w:val="single"/>
          <w:rtl/>
        </w:rPr>
        <w:t xml:space="preserve">דיון והכרעה </w:t>
      </w:r>
    </w:p>
    <w:p w:rsidR="00E121A6" w:rsidRDefault="00FB3F21" w:rsidP="00FA014E">
      <w:pPr>
        <w:pStyle w:val="ab"/>
        <w:numPr>
          <w:ilvl w:val="0"/>
          <w:numId w:val="3"/>
        </w:numPr>
        <w:spacing w:line="360" w:lineRule="auto"/>
        <w:jc w:val="both"/>
        <w:rPr>
          <w:rFonts w:ascii="Arial" w:hAnsi="Arial"/>
        </w:rPr>
      </w:pPr>
      <w:r>
        <w:rPr>
          <w:rFonts w:ascii="Arial" w:hAnsi="Arial" w:hint="cs"/>
          <w:rtl/>
        </w:rPr>
        <w:t xml:space="preserve">המעשים המיוחסים למשיב לכאורה, אליבא </w:t>
      </w:r>
      <w:proofErr w:type="spellStart"/>
      <w:r>
        <w:rPr>
          <w:rFonts w:ascii="Arial" w:hAnsi="Arial" w:hint="cs"/>
          <w:rtl/>
        </w:rPr>
        <w:t>דכתב</w:t>
      </w:r>
      <w:proofErr w:type="spellEnd"/>
      <w:r>
        <w:rPr>
          <w:rFonts w:ascii="Arial" w:hAnsi="Arial" w:hint="cs"/>
          <w:rtl/>
        </w:rPr>
        <w:t xml:space="preserve"> האישום, מלמדים על מסוכנות ברף הגבוה. </w:t>
      </w:r>
    </w:p>
    <w:p w:rsidR="00FB3F21" w:rsidRDefault="00FB3F21" w:rsidP="00FB3F21">
      <w:pPr>
        <w:pStyle w:val="ab"/>
        <w:spacing w:line="360" w:lineRule="auto"/>
        <w:ind w:left="360"/>
        <w:jc w:val="both"/>
        <w:rPr>
          <w:rFonts w:ascii="Arial" w:hAnsi="Arial"/>
          <w:rtl/>
        </w:rPr>
      </w:pPr>
      <w:r>
        <w:rPr>
          <w:rFonts w:ascii="Arial" w:hAnsi="Arial" w:hint="cs"/>
          <w:rtl/>
        </w:rPr>
        <w:t xml:space="preserve">אך בנס לא קופחו חיי אדם, ובתוך כך שוטר משטרת ישראל, בעת האירוע. </w:t>
      </w:r>
    </w:p>
    <w:p w:rsidR="00FB3F21" w:rsidRDefault="00FB3F21" w:rsidP="00FB3F21">
      <w:pPr>
        <w:pStyle w:val="ab"/>
        <w:spacing w:line="360" w:lineRule="auto"/>
        <w:ind w:left="360"/>
        <w:jc w:val="both"/>
        <w:rPr>
          <w:rFonts w:ascii="Arial" w:hAnsi="Arial"/>
          <w:rtl/>
        </w:rPr>
      </w:pPr>
      <w:r>
        <w:rPr>
          <w:rFonts w:ascii="Arial" w:hAnsi="Arial" w:hint="cs"/>
          <w:rtl/>
        </w:rPr>
        <w:t xml:space="preserve">המשיב נכנס לישראל, ללא היתר כדין, בזמן מלחמה, בתקופת חירום ובתוך כך חבר לאחר ובצוותא </w:t>
      </w:r>
      <w:proofErr w:type="spellStart"/>
      <w:r>
        <w:rPr>
          <w:rFonts w:ascii="Arial" w:hAnsi="Arial" w:hint="cs"/>
          <w:rtl/>
        </w:rPr>
        <w:t>חדא</w:t>
      </w:r>
      <w:proofErr w:type="spellEnd"/>
      <w:r>
        <w:rPr>
          <w:rFonts w:ascii="Arial" w:hAnsi="Arial" w:hint="cs"/>
          <w:rtl/>
        </w:rPr>
        <w:t xml:space="preserve"> התפרצו לרכבו של המתלונן בחולון, לפנות בוקר, תוך גרימת נזק לרכב וניפוץ חלונות ובהמשך נהג המשיב ברכב ללא רישיון נהיגה (בלתי מורשה כלל)</w:t>
      </w:r>
      <w:r>
        <w:rPr>
          <w:rFonts w:ascii="Arial" w:hAnsi="Arial" w:hint="cs"/>
        </w:rPr>
        <w:t xml:space="preserve"> </w:t>
      </w:r>
      <w:r>
        <w:rPr>
          <w:rFonts w:ascii="Arial" w:hAnsi="Arial" w:hint="cs"/>
          <w:rtl/>
        </w:rPr>
        <w:t xml:space="preserve">וללא ביטוח. </w:t>
      </w:r>
    </w:p>
    <w:p w:rsidR="00FB3F21" w:rsidRDefault="00FB3F21" w:rsidP="00FB3F21">
      <w:pPr>
        <w:pStyle w:val="ab"/>
        <w:spacing w:line="360" w:lineRule="auto"/>
        <w:ind w:left="360"/>
        <w:jc w:val="both"/>
        <w:rPr>
          <w:rFonts w:ascii="Arial" w:hAnsi="Arial"/>
          <w:rtl/>
        </w:rPr>
      </w:pPr>
    </w:p>
    <w:p w:rsidR="00FB3F21" w:rsidRDefault="00FB3F21" w:rsidP="00FB3F21">
      <w:pPr>
        <w:pStyle w:val="ab"/>
        <w:spacing w:line="360" w:lineRule="auto"/>
        <w:ind w:left="360"/>
        <w:jc w:val="both"/>
        <w:rPr>
          <w:rFonts w:ascii="Arial" w:hAnsi="Arial"/>
          <w:rtl/>
        </w:rPr>
      </w:pPr>
      <w:r>
        <w:rPr>
          <w:rFonts w:ascii="Arial" w:hAnsi="Arial" w:hint="cs"/>
          <w:rtl/>
        </w:rPr>
        <w:t xml:space="preserve">אם לא די בכך, המשיב נהג ברחוב מרכזי בחולון, בדרך נמהרת שיש בה כדי לסכן חיי אדם, תוך אי ציות למספר רמזורים אותם חלף באור אדום. </w:t>
      </w:r>
    </w:p>
    <w:p w:rsidR="0090506F" w:rsidRDefault="00FB3F21" w:rsidP="00FB3F21">
      <w:pPr>
        <w:pStyle w:val="ab"/>
        <w:spacing w:line="360" w:lineRule="auto"/>
        <w:ind w:left="360"/>
        <w:jc w:val="both"/>
        <w:rPr>
          <w:rFonts w:ascii="Arial" w:hAnsi="Arial"/>
          <w:rtl/>
        </w:rPr>
      </w:pPr>
      <w:r>
        <w:rPr>
          <w:rFonts w:ascii="Arial" w:hAnsi="Arial" w:hint="cs"/>
          <w:rtl/>
        </w:rPr>
        <w:t xml:space="preserve">בהמשך, עת הגיע לעיר בת ים ושוטרים כרזו לו לעצור, לא שעה להוראות השוטרים ובתוך כך הסיט את הרכב לכיוון שוטר </w:t>
      </w:r>
      <w:r w:rsidR="0090506F">
        <w:rPr>
          <w:rFonts w:ascii="Arial" w:hAnsi="Arial" w:hint="cs"/>
          <w:rtl/>
        </w:rPr>
        <w:t xml:space="preserve">בנסיעה מהירה, עד שהשוטר נאלץ לירות שתי יריות לעבר גלגלי הרכב. </w:t>
      </w:r>
    </w:p>
    <w:p w:rsidR="0090506F" w:rsidRDefault="0090506F" w:rsidP="00FB3F21">
      <w:pPr>
        <w:pStyle w:val="ab"/>
        <w:spacing w:line="360" w:lineRule="auto"/>
        <w:ind w:left="360"/>
        <w:jc w:val="both"/>
        <w:rPr>
          <w:rFonts w:ascii="Arial" w:hAnsi="Arial"/>
          <w:rtl/>
        </w:rPr>
      </w:pPr>
    </w:p>
    <w:p w:rsidR="0090506F" w:rsidRDefault="0090506F" w:rsidP="00FB3F21">
      <w:pPr>
        <w:pStyle w:val="ab"/>
        <w:spacing w:line="360" w:lineRule="auto"/>
        <w:ind w:left="360"/>
        <w:jc w:val="both"/>
        <w:rPr>
          <w:rFonts w:ascii="Arial" w:hAnsi="Arial"/>
          <w:rtl/>
        </w:rPr>
      </w:pPr>
      <w:r>
        <w:rPr>
          <w:rFonts w:ascii="Arial" w:hAnsi="Arial" w:hint="cs"/>
          <w:rtl/>
        </w:rPr>
        <w:t xml:space="preserve">המשיב לא עצר גם לאחר שירו לכיוונו והמשיך בנהיגתו עד לתחנת הדלק היובל, שם יצא מהרכב ונמלט רגלית, עד שהשוטרים תפסוהו בסמוך לבניין מגורים ברחוב יקותיאל בחולון. </w:t>
      </w:r>
    </w:p>
    <w:p w:rsidR="0090506F" w:rsidRDefault="0090506F" w:rsidP="00FB3F21">
      <w:pPr>
        <w:pStyle w:val="ab"/>
        <w:spacing w:line="360" w:lineRule="auto"/>
        <w:ind w:left="360"/>
        <w:jc w:val="both"/>
        <w:rPr>
          <w:rFonts w:ascii="Arial" w:hAnsi="Arial"/>
          <w:rtl/>
        </w:rPr>
      </w:pPr>
    </w:p>
    <w:p w:rsidR="0090506F" w:rsidRDefault="0090506F" w:rsidP="00FB3F21">
      <w:pPr>
        <w:pStyle w:val="ab"/>
        <w:spacing w:line="360" w:lineRule="auto"/>
        <w:ind w:left="360"/>
        <w:jc w:val="both"/>
        <w:rPr>
          <w:rFonts w:ascii="Arial" w:hAnsi="Arial"/>
          <w:rtl/>
        </w:rPr>
      </w:pPr>
      <w:r>
        <w:rPr>
          <w:rFonts w:ascii="Arial" w:hAnsi="Arial" w:hint="cs"/>
          <w:rtl/>
        </w:rPr>
        <w:t xml:space="preserve">בתיקנו המסוכנות זועקת לשמיים. </w:t>
      </w:r>
    </w:p>
    <w:p w:rsidR="0090506F" w:rsidRDefault="0090506F" w:rsidP="00FB3F21">
      <w:pPr>
        <w:pStyle w:val="ab"/>
        <w:spacing w:line="360" w:lineRule="auto"/>
        <w:ind w:left="360"/>
        <w:jc w:val="both"/>
        <w:rPr>
          <w:rFonts w:ascii="Arial" w:hAnsi="Arial"/>
          <w:rtl/>
        </w:rPr>
      </w:pPr>
    </w:p>
    <w:p w:rsidR="0090506F" w:rsidRDefault="0090506F" w:rsidP="0090506F">
      <w:pPr>
        <w:pStyle w:val="ab"/>
        <w:spacing w:line="360" w:lineRule="auto"/>
        <w:ind w:left="360"/>
        <w:jc w:val="both"/>
        <w:rPr>
          <w:rFonts w:ascii="Arial" w:hAnsi="Arial"/>
          <w:rtl/>
        </w:rPr>
      </w:pPr>
      <w:r>
        <w:rPr>
          <w:rFonts w:ascii="Arial" w:hAnsi="Arial" w:hint="cs"/>
          <w:rtl/>
        </w:rPr>
        <w:t xml:space="preserve">אך לאחרונה אירעו מספר אירועים במחוז תל אביב, במהלכם קופחו חיי אדם של אזרחים תמימים, כפועל יוצא מאירועים של גניבות כלי רכב, הימלטות וגרימת תאונות. </w:t>
      </w:r>
    </w:p>
    <w:p w:rsidR="0090506F" w:rsidRDefault="0090506F" w:rsidP="0090506F">
      <w:pPr>
        <w:pStyle w:val="ab"/>
        <w:spacing w:line="360" w:lineRule="auto"/>
        <w:ind w:left="360"/>
        <w:jc w:val="both"/>
        <w:rPr>
          <w:rFonts w:ascii="Arial" w:hAnsi="Arial"/>
          <w:rtl/>
        </w:rPr>
      </w:pPr>
    </w:p>
    <w:p w:rsidR="0090506F" w:rsidRDefault="0090506F" w:rsidP="0090506F">
      <w:pPr>
        <w:pStyle w:val="ab"/>
        <w:spacing w:line="360" w:lineRule="auto"/>
        <w:ind w:left="360"/>
        <w:jc w:val="both"/>
        <w:rPr>
          <w:rFonts w:ascii="Arial" w:hAnsi="Arial"/>
          <w:rtl/>
        </w:rPr>
      </w:pPr>
      <w:r>
        <w:rPr>
          <w:rFonts w:ascii="Arial" w:hAnsi="Arial" w:hint="cs"/>
          <w:rtl/>
        </w:rPr>
        <w:t xml:space="preserve">בית המשפט העליון שב וקבע, כי עבירות של גניבת כלי רכב מישראל במטרה להעבירם לשטחי האזור, הינן בבחינת מכת מדינה ויש בה לפגוע בביטחון הציבור </w:t>
      </w:r>
      <w:r>
        <w:rPr>
          <w:rFonts w:ascii="Arial" w:hAnsi="Arial"/>
          <w:rtl/>
        </w:rPr>
        <w:t>–</w:t>
      </w:r>
      <w:r>
        <w:rPr>
          <w:rFonts w:ascii="Arial" w:hAnsi="Arial" w:hint="cs"/>
          <w:rtl/>
        </w:rPr>
        <w:t xml:space="preserve"> ראו, בין היתר דבריו של מ"מ הנשיא, כבוד השופט עמית מבית המשפט העליון במסגרת </w:t>
      </w:r>
      <w:proofErr w:type="spellStart"/>
      <w:r>
        <w:rPr>
          <w:rFonts w:ascii="Arial" w:hAnsi="Arial" w:hint="cs"/>
          <w:b/>
          <w:bCs/>
          <w:rtl/>
        </w:rPr>
        <w:t>בש"פ</w:t>
      </w:r>
      <w:proofErr w:type="spellEnd"/>
      <w:r>
        <w:rPr>
          <w:rFonts w:ascii="Arial" w:hAnsi="Arial" w:hint="cs"/>
          <w:b/>
          <w:bCs/>
          <w:rtl/>
        </w:rPr>
        <w:t xml:space="preserve"> 2070/11 עבדאללה נגד מדינת ישראל (2011) </w:t>
      </w:r>
      <w:r>
        <w:rPr>
          <w:rFonts w:ascii="Arial" w:hAnsi="Arial" w:hint="cs"/>
          <w:rtl/>
        </w:rPr>
        <w:t xml:space="preserve">ודבריו במסגרת </w:t>
      </w:r>
      <w:proofErr w:type="spellStart"/>
      <w:r>
        <w:rPr>
          <w:rFonts w:ascii="Arial" w:hAnsi="Arial" w:hint="cs"/>
          <w:b/>
          <w:bCs/>
          <w:rtl/>
        </w:rPr>
        <w:t>בש"פ</w:t>
      </w:r>
      <w:proofErr w:type="spellEnd"/>
      <w:r>
        <w:rPr>
          <w:rFonts w:ascii="Arial" w:hAnsi="Arial" w:hint="cs"/>
          <w:b/>
          <w:bCs/>
          <w:rtl/>
        </w:rPr>
        <w:t xml:space="preserve"> 45/10 </w:t>
      </w:r>
      <w:proofErr w:type="spellStart"/>
      <w:r>
        <w:rPr>
          <w:rFonts w:ascii="Arial" w:hAnsi="Arial" w:hint="cs"/>
          <w:b/>
          <w:bCs/>
          <w:rtl/>
        </w:rPr>
        <w:t>פאדי</w:t>
      </w:r>
      <w:proofErr w:type="spellEnd"/>
      <w:r>
        <w:rPr>
          <w:rFonts w:ascii="Arial" w:hAnsi="Arial" w:hint="cs"/>
          <w:b/>
          <w:bCs/>
          <w:rtl/>
        </w:rPr>
        <w:t xml:space="preserve"> </w:t>
      </w:r>
      <w:proofErr w:type="spellStart"/>
      <w:r>
        <w:rPr>
          <w:rFonts w:ascii="Arial" w:hAnsi="Arial" w:hint="cs"/>
          <w:b/>
          <w:bCs/>
          <w:rtl/>
        </w:rPr>
        <w:t>מסארווה</w:t>
      </w:r>
      <w:proofErr w:type="spellEnd"/>
      <w:r>
        <w:rPr>
          <w:rFonts w:ascii="Arial" w:hAnsi="Arial" w:hint="cs"/>
          <w:b/>
          <w:bCs/>
          <w:rtl/>
        </w:rPr>
        <w:t xml:space="preserve"> נגד מדינת ישראל (2010),</w:t>
      </w:r>
      <w:r w:rsidRPr="0090506F">
        <w:rPr>
          <w:rFonts w:ascii="Arial" w:hAnsi="Arial" w:hint="cs"/>
          <w:rtl/>
        </w:rPr>
        <w:t xml:space="preserve"> בדבר הקלות הבלתי נסבלת של ביצוע עבירות הרכוש</w:t>
      </w:r>
      <w:r>
        <w:rPr>
          <w:rFonts w:ascii="Arial" w:hAnsi="Arial" w:hint="cs"/>
          <w:rtl/>
        </w:rPr>
        <w:t xml:space="preserve"> והמסוכנות הטמונה בעבירות אלה. </w:t>
      </w:r>
    </w:p>
    <w:p w:rsidR="0090506F" w:rsidRDefault="0090506F" w:rsidP="0090506F">
      <w:pPr>
        <w:pStyle w:val="ab"/>
        <w:spacing w:line="360" w:lineRule="auto"/>
        <w:ind w:left="360"/>
        <w:jc w:val="both"/>
        <w:rPr>
          <w:rFonts w:ascii="Arial" w:hAnsi="Arial"/>
          <w:rtl/>
        </w:rPr>
      </w:pPr>
    </w:p>
    <w:p w:rsidR="0090506F" w:rsidRPr="0090506F" w:rsidRDefault="0090506F" w:rsidP="0090506F">
      <w:pPr>
        <w:pStyle w:val="ab"/>
        <w:spacing w:line="360" w:lineRule="auto"/>
        <w:ind w:left="360"/>
        <w:jc w:val="both"/>
        <w:rPr>
          <w:rFonts w:ascii="Arial" w:hAnsi="Arial"/>
          <w:rtl/>
        </w:rPr>
      </w:pPr>
      <w:r>
        <w:rPr>
          <w:rFonts w:ascii="Arial" w:hAnsi="Arial" w:hint="cs"/>
          <w:rtl/>
        </w:rPr>
        <w:t xml:space="preserve">על פוטנציאל ההתלקחות דובר רבות והמקרה שלפניי מוכיח כי מדובר בפוטנציאל שהתממש, תוך סיכון חייו של שוטר עד כי נאלץ להפעיל את נשקו ולירות לעבר הרכב הגנוב בו נהג המשיב, וגם לאחר מכן המשיב לא שעה לכריזת השוטרים והמשיך בנהיגתו הנמהרת. </w:t>
      </w:r>
    </w:p>
    <w:p w:rsidR="0090506F" w:rsidRDefault="0090506F" w:rsidP="0090506F">
      <w:pPr>
        <w:pStyle w:val="ab"/>
        <w:spacing w:line="360" w:lineRule="auto"/>
        <w:ind w:left="360"/>
        <w:jc w:val="both"/>
        <w:rPr>
          <w:rFonts w:ascii="Arial" w:hAnsi="Arial"/>
          <w:rtl/>
        </w:rPr>
      </w:pPr>
    </w:p>
    <w:p w:rsidR="00D17734" w:rsidRDefault="00D17734" w:rsidP="00FA014E">
      <w:pPr>
        <w:pStyle w:val="ab"/>
        <w:numPr>
          <w:ilvl w:val="0"/>
          <w:numId w:val="3"/>
        </w:numPr>
        <w:spacing w:line="360" w:lineRule="auto"/>
        <w:jc w:val="both"/>
        <w:rPr>
          <w:rFonts w:ascii="Arial" w:hAnsi="Arial"/>
        </w:rPr>
      </w:pPr>
      <w:r>
        <w:rPr>
          <w:rFonts w:ascii="Arial" w:hAnsi="Arial" w:hint="cs"/>
          <w:rtl/>
        </w:rPr>
        <w:lastRenderedPageBreak/>
        <w:t xml:space="preserve">בעניין עבירת שהיה בלתי חוקית כעבירה בודדת, ההלכה הפסוקה השולטת בכיפה היא הלכת </w:t>
      </w:r>
      <w:proofErr w:type="spellStart"/>
      <w:r>
        <w:rPr>
          <w:rFonts w:ascii="Arial" w:hAnsi="Arial" w:hint="cs"/>
          <w:b/>
          <w:bCs/>
          <w:rtl/>
        </w:rPr>
        <w:t>בש"פ</w:t>
      </w:r>
      <w:proofErr w:type="spellEnd"/>
      <w:r>
        <w:rPr>
          <w:rFonts w:ascii="Arial" w:hAnsi="Arial" w:hint="cs"/>
          <w:b/>
          <w:bCs/>
          <w:rtl/>
        </w:rPr>
        <w:t xml:space="preserve"> 6781/13 </w:t>
      </w:r>
      <w:proofErr w:type="spellStart"/>
      <w:r>
        <w:rPr>
          <w:rFonts w:ascii="Arial" w:hAnsi="Arial" w:hint="cs"/>
          <w:b/>
          <w:bCs/>
          <w:rtl/>
        </w:rPr>
        <w:t>קונדוס</w:t>
      </w:r>
      <w:proofErr w:type="spellEnd"/>
      <w:r>
        <w:rPr>
          <w:rFonts w:ascii="Arial" w:hAnsi="Arial" w:hint="cs"/>
          <w:b/>
          <w:bCs/>
          <w:rtl/>
        </w:rPr>
        <w:t xml:space="preserve"> נגד מדינת ישראל (2013).</w:t>
      </w:r>
    </w:p>
    <w:p w:rsidR="00D17734" w:rsidRDefault="00D17734" w:rsidP="00D17734">
      <w:pPr>
        <w:pStyle w:val="ab"/>
        <w:spacing w:line="360" w:lineRule="auto"/>
        <w:ind w:left="360"/>
        <w:jc w:val="both"/>
        <w:rPr>
          <w:rFonts w:ascii="Arial" w:hAnsi="Arial"/>
          <w:rtl/>
        </w:rPr>
      </w:pPr>
      <w:r>
        <w:rPr>
          <w:rFonts w:ascii="Arial" w:hAnsi="Arial" w:hint="cs"/>
          <w:rtl/>
        </w:rPr>
        <w:t xml:space="preserve">על-פי ההלכה הפסוקה, נקבע כי בעבירת שב"ח, כעבירה בודדת, החשש המרכזי הוא חשש להימלטות מאימת הדין וניתן להפיג חשש זה בערבויות הולמות, לרבות ערבות צד ג' של אזרח ישראלי אשר ימסור את כתובתו ככתובת למסירת כתבי בי דין למשיב וידאג להתייצבותו לדיוני בית המשפט. </w:t>
      </w:r>
    </w:p>
    <w:p w:rsidR="00D17734" w:rsidRDefault="00D17734" w:rsidP="00D17734">
      <w:pPr>
        <w:pStyle w:val="ab"/>
        <w:spacing w:line="360" w:lineRule="auto"/>
        <w:ind w:left="360"/>
        <w:jc w:val="both"/>
        <w:rPr>
          <w:rFonts w:ascii="Arial" w:hAnsi="Arial"/>
          <w:rtl/>
        </w:rPr>
      </w:pPr>
      <w:r>
        <w:rPr>
          <w:rFonts w:ascii="Arial" w:hAnsi="Arial" w:hint="cs"/>
          <w:rtl/>
        </w:rPr>
        <w:t xml:space="preserve">עם זאת, כבר בהלכת </w:t>
      </w:r>
      <w:proofErr w:type="spellStart"/>
      <w:r>
        <w:rPr>
          <w:rFonts w:ascii="Arial" w:hAnsi="Arial" w:hint="cs"/>
          <w:rtl/>
        </w:rPr>
        <w:t>קונדוס</w:t>
      </w:r>
      <w:proofErr w:type="spellEnd"/>
      <w:r>
        <w:rPr>
          <w:rFonts w:ascii="Arial" w:hAnsi="Arial" w:hint="cs"/>
          <w:rtl/>
        </w:rPr>
        <w:t xml:space="preserve"> עצמה נקבע כי למצב הביטחוני השפעה על שיקול הדעת המופעל על-ידי בית המשפט, בבחינת שיקולים של מעצר או שחרור. </w:t>
      </w:r>
    </w:p>
    <w:p w:rsidR="00D17734" w:rsidRDefault="00D17734" w:rsidP="00D17734">
      <w:pPr>
        <w:pStyle w:val="ab"/>
        <w:spacing w:line="360" w:lineRule="auto"/>
        <w:ind w:left="360"/>
        <w:jc w:val="both"/>
        <w:rPr>
          <w:rFonts w:ascii="Arial" w:hAnsi="Arial"/>
          <w:rtl/>
        </w:rPr>
      </w:pPr>
    </w:p>
    <w:p w:rsidR="00BC7D93" w:rsidRDefault="00D17734" w:rsidP="00BC7D93">
      <w:pPr>
        <w:pStyle w:val="ab"/>
        <w:spacing w:line="360" w:lineRule="auto"/>
        <w:ind w:left="360"/>
        <w:jc w:val="both"/>
        <w:rPr>
          <w:rFonts w:ascii="Arial" w:hAnsi="Arial"/>
          <w:rtl/>
        </w:rPr>
      </w:pPr>
      <w:r>
        <w:rPr>
          <w:rFonts w:ascii="Arial" w:hAnsi="Arial" w:hint="cs"/>
          <w:rtl/>
        </w:rPr>
        <w:t>בעקבות המלחמה שהתרגשה עלינו ביום 07.10.2023</w:t>
      </w:r>
      <w:r w:rsidR="00BC7D93">
        <w:rPr>
          <w:rFonts w:ascii="Arial" w:hAnsi="Arial" w:hint="cs"/>
          <w:rtl/>
        </w:rPr>
        <w:t xml:space="preserve">, עת החלה מתקפת מחבלים רצחנית מרצועת עזה, אשר כללה רצח וחטיפה של אזרחים ושל כוחות הביטחון לצד מתקפת טילים לשמי המדינה, תקופת החירום והמצב הביטחוני הינו שיקול מהותי וחשוב בין יתר שיקוליו של בית המשפט למעצר או שחרור של תושב האזור שנכנס לישראל שלא כדין ובעיקר במי שנכנס לישראל שלא למטרות עבודה, אלא לפגוע ברכושם של אזרחי ישראל, כדוגמת המשיב שלפניי. </w:t>
      </w:r>
    </w:p>
    <w:p w:rsidR="00BC7D93" w:rsidRDefault="00BC7D93" w:rsidP="00BC7D93">
      <w:pPr>
        <w:pStyle w:val="ab"/>
        <w:spacing w:line="360" w:lineRule="auto"/>
        <w:ind w:left="360"/>
        <w:jc w:val="both"/>
        <w:rPr>
          <w:rFonts w:ascii="Arial" w:hAnsi="Arial"/>
          <w:rtl/>
        </w:rPr>
      </w:pPr>
    </w:p>
    <w:p w:rsidR="00BC7D93" w:rsidRDefault="00BC7D93" w:rsidP="00BC7D93">
      <w:pPr>
        <w:pStyle w:val="ab"/>
        <w:spacing w:line="360" w:lineRule="auto"/>
        <w:ind w:left="360"/>
        <w:jc w:val="both"/>
        <w:rPr>
          <w:rFonts w:ascii="Arial" w:hAnsi="Arial"/>
          <w:rtl/>
        </w:rPr>
      </w:pPr>
      <w:r>
        <w:rPr>
          <w:rFonts w:ascii="Arial" w:hAnsi="Arial" w:hint="cs"/>
          <w:rtl/>
        </w:rPr>
        <w:t xml:space="preserve">בית המשפט העליון, במסגרת </w:t>
      </w:r>
      <w:proofErr w:type="spellStart"/>
      <w:r>
        <w:rPr>
          <w:rFonts w:ascii="Arial" w:hAnsi="Arial" w:hint="cs"/>
          <w:b/>
          <w:bCs/>
          <w:rtl/>
        </w:rPr>
        <w:t>בש"פ</w:t>
      </w:r>
      <w:proofErr w:type="spellEnd"/>
      <w:r>
        <w:rPr>
          <w:rFonts w:ascii="Arial" w:hAnsi="Arial" w:hint="cs"/>
          <w:b/>
          <w:bCs/>
          <w:rtl/>
        </w:rPr>
        <w:t xml:space="preserve"> 7751/23 קצי אבו </w:t>
      </w:r>
      <w:proofErr w:type="spellStart"/>
      <w:r>
        <w:rPr>
          <w:rFonts w:ascii="Arial" w:hAnsi="Arial" w:hint="cs"/>
          <w:b/>
          <w:bCs/>
          <w:rtl/>
        </w:rPr>
        <w:t>עואד</w:t>
      </w:r>
      <w:proofErr w:type="spellEnd"/>
      <w:r>
        <w:rPr>
          <w:rFonts w:ascii="Arial" w:hAnsi="Arial" w:hint="cs"/>
          <w:b/>
          <w:bCs/>
          <w:rtl/>
        </w:rPr>
        <w:t xml:space="preserve"> נגד מדינת ישראל (2023)</w:t>
      </w:r>
      <w:r>
        <w:rPr>
          <w:rFonts w:ascii="Arial" w:hAnsi="Arial" w:hint="cs"/>
          <w:rtl/>
        </w:rPr>
        <w:t xml:space="preserve"> קבע כי גם במציאות הביטחונית הנוכחית אין לקבוע כלל קטגורי לפיו לעולם הדין של שוהים בלתי חוקיים יהיה מעצר עד לתום ההליכים. </w:t>
      </w:r>
    </w:p>
    <w:p w:rsidR="00D17734" w:rsidRDefault="00BC7D93" w:rsidP="00BC7D93">
      <w:pPr>
        <w:pStyle w:val="ab"/>
        <w:spacing w:line="360" w:lineRule="auto"/>
        <w:ind w:left="360"/>
        <w:jc w:val="both"/>
        <w:rPr>
          <w:rFonts w:ascii="Arial" w:hAnsi="Arial"/>
          <w:rtl/>
        </w:rPr>
      </w:pPr>
      <w:r>
        <w:rPr>
          <w:rFonts w:ascii="Arial" w:hAnsi="Arial" w:hint="cs"/>
          <w:rtl/>
        </w:rPr>
        <w:t xml:space="preserve">בית המשפט העליון קבע כי יש לבחון כל מקרה לגופו, כפי שמורנו חוק המעצרים.  </w:t>
      </w:r>
    </w:p>
    <w:p w:rsidR="00BC7D93" w:rsidRDefault="00BC7D93" w:rsidP="00BC7D93">
      <w:pPr>
        <w:pStyle w:val="ab"/>
        <w:spacing w:line="360" w:lineRule="auto"/>
        <w:ind w:left="360"/>
        <w:jc w:val="both"/>
        <w:rPr>
          <w:rFonts w:ascii="Arial" w:hAnsi="Arial"/>
          <w:rtl/>
        </w:rPr>
      </w:pPr>
    </w:p>
    <w:p w:rsidR="00FB3F21" w:rsidRDefault="00BC7D93" w:rsidP="00F62C5A">
      <w:pPr>
        <w:pStyle w:val="ab"/>
        <w:numPr>
          <w:ilvl w:val="0"/>
          <w:numId w:val="3"/>
        </w:numPr>
        <w:spacing w:line="360" w:lineRule="auto"/>
        <w:jc w:val="both"/>
        <w:rPr>
          <w:rFonts w:ascii="Arial" w:hAnsi="Arial"/>
        </w:rPr>
      </w:pPr>
      <w:r w:rsidRPr="00BC7D93">
        <w:rPr>
          <w:rFonts w:ascii="Arial" w:hAnsi="Arial" w:hint="cs"/>
          <w:rtl/>
        </w:rPr>
        <w:t>עילת המעצר</w:t>
      </w:r>
      <w:r>
        <w:rPr>
          <w:rFonts w:ascii="Arial" w:hAnsi="Arial" w:hint="cs"/>
          <w:rtl/>
        </w:rPr>
        <w:t xml:space="preserve"> בתיקנו היא כפולה, עילת מעצר מובנית של חשש להימלטות מאימת הדין בהיותו של המשיב תושב האזור ועילת מעצר מסוג מסוכנות, אותה קבעתי ברף הגבוה, לאור נסיבות ביצוע העבירות לכאורה ובתוך כך גניבת רכב עם אחר בצוותא </w:t>
      </w:r>
      <w:proofErr w:type="spellStart"/>
      <w:r>
        <w:rPr>
          <w:rFonts w:ascii="Arial" w:hAnsi="Arial" w:hint="cs"/>
          <w:rtl/>
        </w:rPr>
        <w:t>חדא</w:t>
      </w:r>
      <w:proofErr w:type="spellEnd"/>
      <w:r>
        <w:rPr>
          <w:rFonts w:ascii="Arial" w:hAnsi="Arial" w:hint="cs"/>
          <w:rtl/>
        </w:rPr>
        <w:t>, פגיעה ברכוש אזרחי מדינת ישראל, נהיגה ללא רישיון נהיגה וללא ביטוח, תוך נהיגה פוחזת ואי ציות לרמזורים אדומים ובתוך כך סיכון שוטר ו</w:t>
      </w:r>
      <w:r w:rsidR="00F62C5A">
        <w:rPr>
          <w:rFonts w:ascii="Arial" w:hAnsi="Arial" w:hint="cs"/>
          <w:rtl/>
        </w:rPr>
        <w:t xml:space="preserve">הפרעה לעבודת המשטרה, כאשר המשיב נמלט מהשוטרים ובהמשך אף נמלט רגלית מהרכב. </w:t>
      </w:r>
    </w:p>
    <w:p w:rsidR="00F62C5A" w:rsidRDefault="00F62C5A" w:rsidP="00F62C5A">
      <w:pPr>
        <w:pStyle w:val="ab"/>
        <w:spacing w:line="360" w:lineRule="auto"/>
        <w:ind w:left="360"/>
        <w:jc w:val="both"/>
        <w:rPr>
          <w:rFonts w:ascii="Arial" w:hAnsi="Arial"/>
          <w:rtl/>
        </w:rPr>
      </w:pPr>
    </w:p>
    <w:p w:rsidR="00F62C5A" w:rsidRDefault="00F62C5A" w:rsidP="00F62C5A">
      <w:pPr>
        <w:pStyle w:val="ab"/>
        <w:numPr>
          <w:ilvl w:val="0"/>
          <w:numId w:val="3"/>
        </w:numPr>
        <w:spacing w:line="360" w:lineRule="auto"/>
        <w:jc w:val="both"/>
        <w:rPr>
          <w:rFonts w:ascii="Arial" w:hAnsi="Arial"/>
        </w:rPr>
      </w:pPr>
      <w:r>
        <w:rPr>
          <w:rFonts w:ascii="Arial" w:hAnsi="Arial" w:hint="cs"/>
          <w:rtl/>
        </w:rPr>
        <w:t xml:space="preserve">ער אני לפסיקה אליה הפנתה הסנגורית המלומדת, עם זאת סבורני כי המקרה שלפנינו שונה ונסיבותיו חמורות ומלמדות על מסוכנות גבוהה שלא ניתן </w:t>
      </w:r>
      <w:proofErr w:type="spellStart"/>
      <w:r>
        <w:rPr>
          <w:rFonts w:ascii="Arial" w:hAnsi="Arial" w:hint="cs"/>
          <w:rtl/>
        </w:rPr>
        <w:t>לאיינה</w:t>
      </w:r>
      <w:proofErr w:type="spellEnd"/>
      <w:r>
        <w:rPr>
          <w:rFonts w:ascii="Arial" w:hAnsi="Arial" w:hint="cs"/>
          <w:rtl/>
        </w:rPr>
        <w:t xml:space="preserve"> בתנאים המוצעים, כל שכן חוק המעצרים מורה כי לא יוטל מעצר </w:t>
      </w:r>
      <w:proofErr w:type="spellStart"/>
      <w:r>
        <w:rPr>
          <w:rFonts w:ascii="Arial" w:hAnsi="Arial" w:hint="cs"/>
          <w:rtl/>
        </w:rPr>
        <w:t>באיזוק</w:t>
      </w:r>
      <w:proofErr w:type="spellEnd"/>
      <w:r>
        <w:rPr>
          <w:rFonts w:ascii="Arial" w:hAnsi="Arial" w:hint="cs"/>
          <w:rtl/>
        </w:rPr>
        <w:t xml:space="preserve"> אלקטרוני על מי שנאשם בעבירה של שהיה בלתי חוקית בישראל, אלא מטעמים מיוחדים שיירשמו, וטעמים שכאלה אין </w:t>
      </w:r>
      <w:r>
        <w:rPr>
          <w:rFonts w:ascii="Arial" w:hAnsi="Arial"/>
          <w:rtl/>
        </w:rPr>
        <w:t>–</w:t>
      </w:r>
      <w:r>
        <w:rPr>
          <w:rFonts w:ascii="Arial" w:hAnsi="Arial" w:hint="cs"/>
          <w:rtl/>
        </w:rPr>
        <w:t xml:space="preserve"> סעיף 22ב(ב)(3)</w:t>
      </w:r>
      <w:r>
        <w:rPr>
          <w:rFonts w:ascii="Arial" w:hAnsi="Arial" w:hint="cs"/>
        </w:rPr>
        <w:t xml:space="preserve"> </w:t>
      </w:r>
      <w:r>
        <w:rPr>
          <w:rFonts w:ascii="Arial" w:hAnsi="Arial" w:hint="cs"/>
          <w:rtl/>
        </w:rPr>
        <w:t xml:space="preserve">לחוק המעצרים. </w:t>
      </w:r>
    </w:p>
    <w:p w:rsidR="00F62C5A" w:rsidRPr="00F62C5A" w:rsidRDefault="00F62C5A" w:rsidP="00F62C5A">
      <w:pPr>
        <w:pStyle w:val="ab"/>
        <w:rPr>
          <w:rFonts w:ascii="Arial" w:hAnsi="Arial"/>
          <w:rtl/>
        </w:rPr>
      </w:pPr>
    </w:p>
    <w:p w:rsidR="00F62C5A" w:rsidRDefault="00F62C5A" w:rsidP="00F62C5A">
      <w:pPr>
        <w:pStyle w:val="ab"/>
        <w:spacing w:line="360" w:lineRule="auto"/>
        <w:ind w:left="360"/>
        <w:jc w:val="both"/>
        <w:rPr>
          <w:rFonts w:ascii="Arial" w:hAnsi="Arial"/>
          <w:rtl/>
        </w:rPr>
      </w:pPr>
      <w:r>
        <w:rPr>
          <w:rFonts w:ascii="Arial" w:hAnsi="Arial" w:hint="cs"/>
          <w:rtl/>
        </w:rPr>
        <w:t xml:space="preserve">אשר לתיק </w:t>
      </w:r>
      <w:proofErr w:type="spellStart"/>
      <w:r w:rsidRPr="00F62C5A">
        <w:rPr>
          <w:rFonts w:ascii="Arial" w:hAnsi="Arial" w:hint="cs"/>
          <w:b/>
          <w:bCs/>
          <w:rtl/>
        </w:rPr>
        <w:t>מ"ת</w:t>
      </w:r>
      <w:proofErr w:type="spellEnd"/>
      <w:r w:rsidRPr="00F62C5A">
        <w:rPr>
          <w:rFonts w:ascii="Arial" w:hAnsi="Arial" w:hint="cs"/>
          <w:b/>
          <w:bCs/>
          <w:rtl/>
        </w:rPr>
        <w:t xml:space="preserve"> 23684-12-19 מדינת ישראל נגד </w:t>
      </w:r>
      <w:proofErr w:type="spellStart"/>
      <w:r w:rsidRPr="00F62C5A">
        <w:rPr>
          <w:rFonts w:ascii="Arial" w:hAnsi="Arial" w:hint="cs"/>
          <w:b/>
          <w:bCs/>
          <w:rtl/>
        </w:rPr>
        <w:t>גרבאן</w:t>
      </w:r>
      <w:proofErr w:type="spellEnd"/>
      <w:r w:rsidRPr="00F62C5A">
        <w:rPr>
          <w:rFonts w:ascii="Arial" w:hAnsi="Arial" w:hint="cs"/>
          <w:b/>
          <w:bCs/>
          <w:rtl/>
        </w:rPr>
        <w:t xml:space="preserve"> (10.02.20)</w:t>
      </w:r>
      <w:r>
        <w:rPr>
          <w:rFonts w:ascii="Arial" w:hAnsi="Arial" w:hint="cs"/>
          <w:rtl/>
        </w:rPr>
        <w:t xml:space="preserve">, המדובר בהחלטה שניתנה לפני המלחמה, כאשר המצב הביטחוני היה שונה באותם ימים. </w:t>
      </w:r>
    </w:p>
    <w:p w:rsidR="00F62C5A" w:rsidRDefault="00F62C5A" w:rsidP="00F62C5A">
      <w:pPr>
        <w:pStyle w:val="ab"/>
        <w:spacing w:line="360" w:lineRule="auto"/>
        <w:ind w:left="360"/>
        <w:jc w:val="both"/>
        <w:rPr>
          <w:rFonts w:ascii="Arial" w:hAnsi="Arial"/>
          <w:rtl/>
        </w:rPr>
      </w:pPr>
      <w:r>
        <w:rPr>
          <w:rFonts w:ascii="Arial" w:hAnsi="Arial" w:hint="cs"/>
          <w:rtl/>
        </w:rPr>
        <w:t xml:space="preserve">אשר להחלטות בית המשפט המחוזי בתל אביב, שם נקבע כי הזרם המרכזי בפסיקה, במקרים בהם מדובר בשוהה בלתי חוקי אשר נכנס לישראל ומבצע עבירות רכוש חמורות כגון התפרצות </w:t>
      </w:r>
      <w:r>
        <w:rPr>
          <w:rFonts w:ascii="Arial" w:hAnsi="Arial" w:hint="cs"/>
          <w:rtl/>
        </w:rPr>
        <w:lastRenderedPageBreak/>
        <w:t>לרכב, גניבת רכב ונהיגה ללא רישיון, מורה ככלל, כי י</w:t>
      </w:r>
      <w:r w:rsidR="00DD7377">
        <w:rPr>
          <w:rFonts w:ascii="Arial" w:hAnsi="Arial" w:hint="cs"/>
          <w:rtl/>
        </w:rPr>
        <w:t xml:space="preserve">ש להורות על מעצרם של משיבים אלה עד לתום ההליכים. </w:t>
      </w:r>
    </w:p>
    <w:p w:rsidR="00DD7377" w:rsidRDefault="00DD7377" w:rsidP="00DD7377">
      <w:pPr>
        <w:pStyle w:val="ab"/>
        <w:spacing w:line="360" w:lineRule="auto"/>
        <w:ind w:left="360"/>
        <w:jc w:val="both"/>
        <w:rPr>
          <w:rFonts w:ascii="Arial" w:hAnsi="Arial"/>
          <w:rtl/>
        </w:rPr>
      </w:pPr>
      <w:r>
        <w:rPr>
          <w:rFonts w:ascii="Arial" w:hAnsi="Arial" w:hint="cs"/>
          <w:rtl/>
        </w:rPr>
        <w:t xml:space="preserve">עם זאת, באותם מקרים דחה בית המשפט המחוזי בתל אביב עררי המדינה על החלטת בית המשפט השלום, לאחר שקבע חלופת מעצר בישראל או ערבויות, לאור נסיבות מיוחדות באותם מקרים. </w:t>
      </w:r>
    </w:p>
    <w:p w:rsidR="00DD7377" w:rsidRDefault="00DD7377" w:rsidP="00DD7377">
      <w:pPr>
        <w:pStyle w:val="ab"/>
        <w:spacing w:line="360" w:lineRule="auto"/>
        <w:ind w:left="360"/>
        <w:jc w:val="both"/>
        <w:rPr>
          <w:rFonts w:ascii="Arial" w:hAnsi="Arial"/>
          <w:rtl/>
        </w:rPr>
      </w:pPr>
    </w:p>
    <w:p w:rsidR="00DD7377" w:rsidRDefault="00DD7377" w:rsidP="00DD7377">
      <w:pPr>
        <w:pStyle w:val="ab"/>
        <w:spacing w:line="360" w:lineRule="auto"/>
        <w:ind w:left="360"/>
        <w:jc w:val="both"/>
        <w:rPr>
          <w:rFonts w:ascii="Arial" w:hAnsi="Arial"/>
          <w:rtl/>
        </w:rPr>
      </w:pPr>
      <w:r>
        <w:rPr>
          <w:rFonts w:ascii="Arial" w:hAnsi="Arial" w:hint="cs"/>
          <w:rtl/>
        </w:rPr>
        <w:t xml:space="preserve">בעניין זה אפנה להחלטתו של מ"מ נשיא בית המשפט העליון, כבוד השופט עמית במסגרת </w:t>
      </w:r>
      <w:proofErr w:type="spellStart"/>
      <w:r>
        <w:rPr>
          <w:rFonts w:ascii="Arial" w:hAnsi="Arial" w:hint="cs"/>
          <w:b/>
          <w:bCs/>
          <w:rtl/>
        </w:rPr>
        <w:t>בש"פ</w:t>
      </w:r>
      <w:proofErr w:type="spellEnd"/>
      <w:r>
        <w:rPr>
          <w:rFonts w:ascii="Arial" w:hAnsi="Arial" w:hint="cs"/>
          <w:b/>
          <w:bCs/>
          <w:rtl/>
        </w:rPr>
        <w:t xml:space="preserve"> 2593/24 פלוני נגד מדינת ישראל (2024)</w:t>
      </w:r>
      <w:r>
        <w:rPr>
          <w:rFonts w:ascii="Arial" w:hAnsi="Arial" w:hint="cs"/>
          <w:rtl/>
        </w:rPr>
        <w:t xml:space="preserve">, שם נדחתה הבקשה לרשות ערעור על מעצרו של קטין שיוחסו לו, בין היתר, עבירות של שהיה בלתי חוקית בישראל וניסיון לגניבת רכב בצוותא. </w:t>
      </w:r>
    </w:p>
    <w:p w:rsidR="00DD7377" w:rsidRDefault="00DD7377" w:rsidP="00DD7377">
      <w:pPr>
        <w:pStyle w:val="ab"/>
        <w:spacing w:line="360" w:lineRule="auto"/>
        <w:ind w:left="360"/>
        <w:jc w:val="both"/>
        <w:rPr>
          <w:rFonts w:ascii="Arial" w:hAnsi="Arial"/>
          <w:rtl/>
        </w:rPr>
      </w:pPr>
      <w:r>
        <w:rPr>
          <w:rFonts w:ascii="Arial" w:hAnsi="Arial" w:hint="cs"/>
          <w:rtl/>
        </w:rPr>
        <w:t xml:space="preserve">בית המשפט העליון עמד, כאמור, על תופעת גניבת כלי הרכב מישראל והעברתם לשטחי האזור, כמכת מדינה והפגיעה בביטחון הציבור לצד המסוכנות הקיימת בהימלטות משוטרים, נהיגה פרועה וללא רישיון והכל בזמן מלחמה. </w:t>
      </w:r>
    </w:p>
    <w:p w:rsidR="00DD7377" w:rsidRDefault="00DD7377" w:rsidP="00DD7377">
      <w:pPr>
        <w:pStyle w:val="ab"/>
        <w:spacing w:line="360" w:lineRule="auto"/>
        <w:ind w:left="360"/>
        <w:jc w:val="both"/>
        <w:rPr>
          <w:rFonts w:ascii="Arial" w:hAnsi="Arial"/>
          <w:rtl/>
        </w:rPr>
      </w:pPr>
    </w:p>
    <w:p w:rsidR="00DD7377" w:rsidRPr="00DD7377" w:rsidRDefault="00DD7377" w:rsidP="004A5E57">
      <w:pPr>
        <w:pStyle w:val="ab"/>
        <w:spacing w:line="360" w:lineRule="auto"/>
        <w:ind w:left="360"/>
        <w:jc w:val="both"/>
        <w:rPr>
          <w:rFonts w:ascii="Arial" w:hAnsi="Arial"/>
        </w:rPr>
      </w:pPr>
      <w:r>
        <w:rPr>
          <w:rFonts w:ascii="Arial" w:hAnsi="Arial" w:hint="cs"/>
          <w:rtl/>
        </w:rPr>
        <w:t xml:space="preserve">ראו, בין היתר: </w:t>
      </w:r>
      <w:proofErr w:type="spellStart"/>
      <w:r>
        <w:rPr>
          <w:rFonts w:ascii="Arial" w:hAnsi="Arial" w:hint="cs"/>
          <w:b/>
          <w:bCs/>
          <w:rtl/>
        </w:rPr>
        <w:t>עמ"ת</w:t>
      </w:r>
      <w:proofErr w:type="spellEnd"/>
      <w:r>
        <w:rPr>
          <w:rFonts w:ascii="Arial" w:hAnsi="Arial" w:hint="cs"/>
          <w:b/>
          <w:bCs/>
          <w:rtl/>
        </w:rPr>
        <w:t xml:space="preserve"> 73033-11-24 מדינת ישראל נגד </w:t>
      </w:r>
      <w:proofErr w:type="spellStart"/>
      <w:r>
        <w:rPr>
          <w:rFonts w:ascii="Arial" w:hAnsi="Arial" w:hint="cs"/>
          <w:b/>
          <w:bCs/>
          <w:rtl/>
        </w:rPr>
        <w:t>חואמדה</w:t>
      </w:r>
      <w:proofErr w:type="spellEnd"/>
      <w:r>
        <w:rPr>
          <w:rFonts w:ascii="Arial" w:hAnsi="Arial" w:hint="cs"/>
          <w:b/>
          <w:bCs/>
          <w:rtl/>
        </w:rPr>
        <w:t xml:space="preserve"> (3.12.24), </w:t>
      </w:r>
      <w:r>
        <w:rPr>
          <w:rFonts w:ascii="Arial" w:hAnsi="Arial" w:hint="cs"/>
          <w:rtl/>
        </w:rPr>
        <w:t xml:space="preserve">שם </w:t>
      </w:r>
      <w:r w:rsidR="004A5E57">
        <w:rPr>
          <w:rFonts w:ascii="Arial" w:hAnsi="Arial" w:hint="cs"/>
          <w:rtl/>
        </w:rPr>
        <w:t xml:space="preserve">מדובר היה </w:t>
      </w:r>
      <w:r w:rsidR="00E73667">
        <w:rPr>
          <w:rFonts w:ascii="Arial" w:hAnsi="Arial" w:hint="cs"/>
          <w:rtl/>
        </w:rPr>
        <w:t>בשהיי</w:t>
      </w:r>
      <w:r w:rsidR="00E73667">
        <w:rPr>
          <w:rFonts w:ascii="Arial" w:hAnsi="Arial" w:hint="eastAsia"/>
          <w:rtl/>
        </w:rPr>
        <w:t>ה</w:t>
      </w:r>
      <w:r w:rsidR="004A5E57">
        <w:rPr>
          <w:rFonts w:ascii="Arial" w:hAnsi="Arial" w:hint="cs"/>
          <w:rtl/>
        </w:rPr>
        <w:t xml:space="preserve"> בלתי חוקית בישראל לצד ניסיון גניבת רכב בצוותא </w:t>
      </w:r>
      <w:proofErr w:type="spellStart"/>
      <w:r w:rsidR="004A5E57">
        <w:rPr>
          <w:rFonts w:ascii="Arial" w:hAnsi="Arial" w:hint="cs"/>
          <w:rtl/>
        </w:rPr>
        <w:t>חדא</w:t>
      </w:r>
      <w:proofErr w:type="spellEnd"/>
      <w:r w:rsidR="004A5E57">
        <w:rPr>
          <w:rFonts w:ascii="Arial" w:hAnsi="Arial" w:hint="cs"/>
          <w:rtl/>
        </w:rPr>
        <w:t xml:space="preserve"> ובית המשפט המחוזי בתל אביב קיבל את ערר המדינה והורה על מעצרו של אותו משיב עד לתום ההליכים. </w:t>
      </w:r>
    </w:p>
    <w:p w:rsidR="00F62C5A" w:rsidRPr="00DD7377" w:rsidRDefault="00F62C5A" w:rsidP="00F62C5A">
      <w:pPr>
        <w:pStyle w:val="ab"/>
        <w:rPr>
          <w:rFonts w:ascii="Arial" w:hAnsi="Arial"/>
          <w:rtl/>
        </w:rPr>
      </w:pPr>
    </w:p>
    <w:p w:rsidR="00F62C5A" w:rsidRDefault="004A5E57" w:rsidP="00F62C5A">
      <w:pPr>
        <w:pStyle w:val="ab"/>
        <w:numPr>
          <w:ilvl w:val="0"/>
          <w:numId w:val="3"/>
        </w:numPr>
        <w:spacing w:line="360" w:lineRule="auto"/>
        <w:jc w:val="both"/>
        <w:rPr>
          <w:rFonts w:ascii="Arial" w:hAnsi="Arial"/>
        </w:rPr>
      </w:pPr>
      <w:r>
        <w:rPr>
          <w:rFonts w:ascii="Arial" w:hAnsi="Arial" w:hint="cs"/>
          <w:rtl/>
        </w:rPr>
        <w:t xml:space="preserve">בהלכת </w:t>
      </w:r>
      <w:proofErr w:type="spellStart"/>
      <w:r>
        <w:rPr>
          <w:rFonts w:ascii="Arial" w:hAnsi="Arial" w:hint="cs"/>
          <w:rtl/>
        </w:rPr>
        <w:t>קונדוס</w:t>
      </w:r>
      <w:proofErr w:type="spellEnd"/>
      <w:r>
        <w:rPr>
          <w:rFonts w:ascii="Arial" w:hAnsi="Arial" w:hint="cs"/>
          <w:rtl/>
        </w:rPr>
        <w:t xml:space="preserve"> עצמה עמד בית המשפט העליון על הקושי המהותי הקיים בחלופת מעצר בישראל לשוהים בלתי חוקיים. </w:t>
      </w:r>
    </w:p>
    <w:p w:rsidR="004A5E57" w:rsidRDefault="004A5E57" w:rsidP="004A5E57">
      <w:pPr>
        <w:pStyle w:val="ab"/>
        <w:spacing w:line="360" w:lineRule="auto"/>
        <w:ind w:left="360"/>
        <w:jc w:val="both"/>
        <w:rPr>
          <w:rFonts w:ascii="Arial" w:hAnsi="Arial"/>
          <w:rtl/>
        </w:rPr>
      </w:pPr>
      <w:r>
        <w:rPr>
          <w:rFonts w:ascii="Arial" w:hAnsi="Arial" w:hint="cs"/>
          <w:rtl/>
        </w:rPr>
        <w:t>כבוד השופטת עדנה ארבל קבעה:</w:t>
      </w:r>
      <w:r w:rsidRPr="004A5E57">
        <w:rPr>
          <w:rFonts w:ascii="Arial" w:hAnsi="Arial" w:hint="cs"/>
          <w:b/>
          <w:bCs/>
          <w:i/>
          <w:iCs/>
        </w:rPr>
        <w:t xml:space="preserve"> </w:t>
      </w:r>
      <w:r w:rsidRPr="004A5E57">
        <w:rPr>
          <w:rFonts w:ascii="Arial" w:hAnsi="Arial" w:hint="cs"/>
          <w:b/>
          <w:bCs/>
          <w:i/>
          <w:iCs/>
          <w:rtl/>
        </w:rPr>
        <w:t>"כשלעצמי, אני סבורה כי מתן האפשרות לחלופת מעצר בשטח ישראל צריך להיעשות במקרים נדירים ויוצאי דופן</w:t>
      </w:r>
      <w:r>
        <w:rPr>
          <w:rFonts w:ascii="Arial" w:hAnsi="Arial" w:hint="cs"/>
          <w:b/>
          <w:bCs/>
          <w:i/>
          <w:iCs/>
          <w:rtl/>
        </w:rPr>
        <w:t xml:space="preserve">, כאשר בית המשפט השתכנע כי קיימת לכאורה מניעה ממשית להחזיר את הנאשם לשטח הרשות הפלסטינאית וכאשר באפשרותו להעמיד חלופה ראויה שתבטיח פיקוח הדוק" </w:t>
      </w:r>
      <w:r w:rsidRPr="004A5E57">
        <w:rPr>
          <w:rFonts w:ascii="Arial" w:hAnsi="Arial"/>
          <w:rtl/>
        </w:rPr>
        <w:t>–</w:t>
      </w:r>
      <w:r w:rsidRPr="004A5E57">
        <w:rPr>
          <w:rFonts w:ascii="Arial" w:hAnsi="Arial" w:hint="cs"/>
          <w:rtl/>
        </w:rPr>
        <w:t xml:space="preserve"> </w:t>
      </w:r>
      <w:r>
        <w:rPr>
          <w:rFonts w:ascii="Arial" w:hAnsi="Arial" w:hint="cs"/>
          <w:rtl/>
        </w:rPr>
        <w:t xml:space="preserve">ראו פסקה 15 להלכת </w:t>
      </w:r>
      <w:proofErr w:type="spellStart"/>
      <w:r>
        <w:rPr>
          <w:rFonts w:ascii="Arial" w:hAnsi="Arial" w:hint="cs"/>
          <w:rtl/>
        </w:rPr>
        <w:t>קונדוס</w:t>
      </w:r>
      <w:proofErr w:type="spellEnd"/>
      <w:r>
        <w:rPr>
          <w:rFonts w:ascii="Arial" w:hAnsi="Arial" w:hint="cs"/>
          <w:rtl/>
        </w:rPr>
        <w:t xml:space="preserve">. </w:t>
      </w:r>
      <w:r w:rsidRPr="004A5E57">
        <w:rPr>
          <w:rFonts w:ascii="Arial" w:hAnsi="Arial" w:hint="cs"/>
          <w:rtl/>
        </w:rPr>
        <w:t xml:space="preserve"> </w:t>
      </w:r>
    </w:p>
    <w:p w:rsidR="004A5E57" w:rsidRDefault="004A5E57" w:rsidP="004A5E57">
      <w:pPr>
        <w:pStyle w:val="ab"/>
        <w:spacing w:line="360" w:lineRule="auto"/>
        <w:ind w:left="360"/>
        <w:jc w:val="both"/>
        <w:rPr>
          <w:rFonts w:ascii="Arial" w:hAnsi="Arial"/>
          <w:rtl/>
        </w:rPr>
      </w:pPr>
    </w:p>
    <w:p w:rsidR="004A5E57" w:rsidRDefault="004A5E57" w:rsidP="004A5E57">
      <w:pPr>
        <w:pStyle w:val="ab"/>
        <w:spacing w:line="360" w:lineRule="auto"/>
        <w:ind w:left="360"/>
        <w:jc w:val="both"/>
        <w:rPr>
          <w:rFonts w:ascii="Arial" w:hAnsi="Arial"/>
          <w:rtl/>
        </w:rPr>
      </w:pPr>
      <w:r>
        <w:rPr>
          <w:rFonts w:ascii="Arial" w:hAnsi="Arial" w:hint="cs"/>
          <w:rtl/>
        </w:rPr>
        <w:t xml:space="preserve">רוצה לומר, בהתאם לפסיקה, קביעת חלופת מעצר בישראל לתושב האזור היא בבחינת חריג ויוצא דופן ובאותם מקרים הומניטריים, כשיש מניעה ממשית להחזרת המשיב לשטחי האזור ובתוך כך שתמונת המסוכנות מאפשרת קיומה של חלופה שכזאת. </w:t>
      </w:r>
    </w:p>
    <w:p w:rsidR="00D0436D" w:rsidRDefault="00D0436D" w:rsidP="004A5E57">
      <w:pPr>
        <w:pStyle w:val="ab"/>
        <w:spacing w:line="360" w:lineRule="auto"/>
        <w:ind w:left="360"/>
        <w:jc w:val="both"/>
        <w:rPr>
          <w:rFonts w:ascii="Arial" w:hAnsi="Arial"/>
          <w:rtl/>
        </w:rPr>
      </w:pPr>
    </w:p>
    <w:p w:rsidR="00D0436D" w:rsidRDefault="00D0436D" w:rsidP="008664FB">
      <w:pPr>
        <w:pStyle w:val="ab"/>
        <w:spacing w:line="360" w:lineRule="auto"/>
        <w:ind w:left="360"/>
        <w:jc w:val="both"/>
        <w:rPr>
          <w:rFonts w:ascii="Arial" w:hAnsi="Arial"/>
          <w:rtl/>
        </w:rPr>
      </w:pPr>
      <w:r>
        <w:rPr>
          <w:rFonts w:ascii="Arial" w:hAnsi="Arial" w:hint="cs"/>
          <w:rtl/>
        </w:rPr>
        <w:t xml:space="preserve">בית המשפט המחוזי בתל אביב </w:t>
      </w:r>
      <w:r w:rsidR="008F1149">
        <w:rPr>
          <w:rFonts w:ascii="Arial" w:hAnsi="Arial" w:hint="cs"/>
          <w:rtl/>
        </w:rPr>
        <w:t>קבע בהחלטתו</w:t>
      </w:r>
      <w:r w:rsidR="008664FB">
        <w:rPr>
          <w:rFonts w:ascii="Arial" w:hAnsi="Arial" w:hint="cs"/>
          <w:rtl/>
        </w:rPr>
        <w:t>,</w:t>
      </w:r>
      <w:r w:rsidR="008F1149">
        <w:rPr>
          <w:rFonts w:ascii="Arial" w:hAnsi="Arial" w:hint="cs"/>
          <w:rtl/>
        </w:rPr>
        <w:t xml:space="preserve"> במסגרת </w:t>
      </w:r>
      <w:proofErr w:type="spellStart"/>
      <w:r w:rsidR="008F1149" w:rsidRPr="008664FB">
        <w:rPr>
          <w:rFonts w:ascii="Arial" w:hAnsi="Arial" w:hint="cs"/>
          <w:b/>
          <w:bCs/>
          <w:rtl/>
        </w:rPr>
        <w:t>עמ"ת</w:t>
      </w:r>
      <w:proofErr w:type="spellEnd"/>
      <w:r w:rsidR="008F1149">
        <w:rPr>
          <w:rFonts w:ascii="Arial" w:hAnsi="Arial" w:hint="cs"/>
          <w:rtl/>
        </w:rPr>
        <w:t xml:space="preserve"> </w:t>
      </w:r>
      <w:r w:rsidR="008F1149">
        <w:rPr>
          <w:rFonts w:ascii="Arial" w:hAnsi="Arial" w:hint="cs"/>
          <w:b/>
          <w:bCs/>
          <w:rtl/>
        </w:rPr>
        <w:t>14794-11-24 מדינת ישראל נ</w:t>
      </w:r>
      <w:r w:rsidR="008664FB">
        <w:rPr>
          <w:rFonts w:ascii="Arial" w:hAnsi="Arial" w:hint="cs"/>
          <w:b/>
          <w:bCs/>
          <w:rtl/>
        </w:rPr>
        <w:t>גד</w:t>
      </w:r>
      <w:r w:rsidR="008F1149">
        <w:rPr>
          <w:rFonts w:ascii="Arial" w:hAnsi="Arial" w:hint="cs"/>
          <w:b/>
          <w:bCs/>
          <w:rtl/>
        </w:rPr>
        <w:t xml:space="preserve"> מוכחל (11/11/24) </w:t>
      </w:r>
      <w:r w:rsidR="008F1149">
        <w:rPr>
          <w:rFonts w:ascii="Arial" w:hAnsi="Arial" w:hint="cs"/>
          <w:rtl/>
        </w:rPr>
        <w:t xml:space="preserve">כי </w:t>
      </w:r>
      <w:r w:rsidR="007D1370">
        <w:rPr>
          <w:rFonts w:ascii="Arial" w:hAnsi="Arial" w:hint="cs"/>
          <w:rtl/>
        </w:rPr>
        <w:t xml:space="preserve">ניתן להיזקק לחלופת מעצר בישראל כמקרה חריג בהינתן שני מצבים, האחד קיומו של שיקול הומניטרי חריג של המשיב והשני, שמשמעות דחיית חלופה בישראל היא הוראה על מעצר מאחורי סורג ובריח. </w:t>
      </w:r>
    </w:p>
    <w:p w:rsidR="007D1370" w:rsidRDefault="007D1370" w:rsidP="004A5E57">
      <w:pPr>
        <w:pStyle w:val="ab"/>
        <w:spacing w:line="360" w:lineRule="auto"/>
        <w:ind w:left="360"/>
        <w:jc w:val="both"/>
        <w:rPr>
          <w:rFonts w:ascii="Arial" w:hAnsi="Arial"/>
          <w:rtl/>
        </w:rPr>
      </w:pPr>
    </w:p>
    <w:p w:rsidR="007D1370" w:rsidRDefault="007D1370" w:rsidP="007D1370">
      <w:pPr>
        <w:pStyle w:val="ab"/>
        <w:spacing w:line="360" w:lineRule="auto"/>
        <w:ind w:left="360"/>
        <w:jc w:val="both"/>
        <w:rPr>
          <w:rFonts w:ascii="Arial" w:hAnsi="Arial"/>
          <w:rtl/>
        </w:rPr>
      </w:pPr>
      <w:r>
        <w:rPr>
          <w:rFonts w:ascii="Arial" w:hAnsi="Arial" w:hint="cs"/>
          <w:rtl/>
        </w:rPr>
        <w:t xml:space="preserve">לדידי, גם פסיקה זו אינה יכולה לסייע להגנה בתיקנו, שכן לא מצאתי כל טעם מיוחד כמצוות הפסיקה או קיומו של שיקול הומניטרי, בעניינו של המשיב, המתגורר בשטחי האזור, נשוי ואב לשלושה ילדים קטינים המתגוררים באזור. </w:t>
      </w:r>
    </w:p>
    <w:p w:rsidR="007D1370" w:rsidRDefault="007D1370" w:rsidP="007D1370">
      <w:pPr>
        <w:pStyle w:val="ab"/>
        <w:spacing w:line="360" w:lineRule="auto"/>
        <w:ind w:left="360"/>
        <w:jc w:val="both"/>
        <w:rPr>
          <w:rFonts w:ascii="Arial" w:hAnsi="Arial"/>
          <w:rtl/>
        </w:rPr>
      </w:pPr>
    </w:p>
    <w:p w:rsidR="007D1370" w:rsidRDefault="007D1370" w:rsidP="007D1370">
      <w:pPr>
        <w:pStyle w:val="ab"/>
        <w:spacing w:line="360" w:lineRule="auto"/>
        <w:ind w:left="360"/>
        <w:jc w:val="both"/>
        <w:rPr>
          <w:rFonts w:ascii="Arial" w:hAnsi="Arial"/>
          <w:rtl/>
        </w:rPr>
      </w:pPr>
      <w:r>
        <w:rPr>
          <w:rFonts w:ascii="Arial" w:hAnsi="Arial" w:hint="cs"/>
          <w:rtl/>
        </w:rPr>
        <w:lastRenderedPageBreak/>
        <w:t xml:space="preserve">העובדה כי סבו, אמו וגיסו מתגוררים בישראל אינה מהווה טעם מיוחד או טעם הומניטרי לקביעת חלופה בישראל או מעצרו </w:t>
      </w:r>
      <w:proofErr w:type="spellStart"/>
      <w:r>
        <w:rPr>
          <w:rFonts w:ascii="Arial" w:hAnsi="Arial" w:hint="cs"/>
          <w:rtl/>
        </w:rPr>
        <w:t>באיזוק</w:t>
      </w:r>
      <w:proofErr w:type="spellEnd"/>
      <w:r>
        <w:rPr>
          <w:rFonts w:ascii="Arial" w:hAnsi="Arial" w:hint="cs"/>
          <w:rtl/>
        </w:rPr>
        <w:t xml:space="preserve"> אלקטרוני כאשר המחוקק קבע בחוק המעצרים כי לא יוטל מעצר שכזה על מי שהואשם בעבירות של שהייה בלתי חוקית בישראל. </w:t>
      </w:r>
    </w:p>
    <w:p w:rsidR="007D1370" w:rsidRDefault="007D1370" w:rsidP="007D1370">
      <w:pPr>
        <w:pStyle w:val="ab"/>
        <w:spacing w:line="360" w:lineRule="auto"/>
        <w:ind w:left="360"/>
        <w:jc w:val="both"/>
        <w:rPr>
          <w:rFonts w:ascii="Arial" w:hAnsi="Arial"/>
          <w:rtl/>
        </w:rPr>
      </w:pPr>
    </w:p>
    <w:p w:rsidR="007D1370" w:rsidRDefault="007D1370" w:rsidP="007D1370">
      <w:pPr>
        <w:pStyle w:val="ab"/>
        <w:spacing w:line="360" w:lineRule="auto"/>
        <w:ind w:left="360"/>
        <w:jc w:val="both"/>
        <w:rPr>
          <w:rFonts w:ascii="Arial" w:hAnsi="Arial"/>
          <w:rtl/>
        </w:rPr>
      </w:pPr>
      <w:r>
        <w:rPr>
          <w:rFonts w:ascii="Arial" w:hAnsi="Arial" w:hint="cs"/>
          <w:rtl/>
        </w:rPr>
        <w:t xml:space="preserve">לדידי, החלטה בדבר הותרתו של שוהה בלתי חוקי בישראל ללא טעם מיוחד או טעם הומניטרי מכשירה את השהייה הבלתי חוקית בישראל על ידי בית המשפט. </w:t>
      </w:r>
    </w:p>
    <w:p w:rsidR="008664FB" w:rsidRDefault="008664FB" w:rsidP="007D1370">
      <w:pPr>
        <w:pStyle w:val="ab"/>
        <w:spacing w:line="360" w:lineRule="auto"/>
        <w:ind w:left="360"/>
        <w:jc w:val="both"/>
        <w:rPr>
          <w:rFonts w:ascii="Arial" w:hAnsi="Arial"/>
          <w:rtl/>
        </w:rPr>
      </w:pPr>
    </w:p>
    <w:p w:rsidR="008664FB" w:rsidRDefault="008664FB" w:rsidP="00A1598F">
      <w:pPr>
        <w:pStyle w:val="ab"/>
        <w:spacing w:line="360" w:lineRule="auto"/>
        <w:ind w:left="360"/>
        <w:jc w:val="both"/>
        <w:rPr>
          <w:rFonts w:ascii="Arial" w:hAnsi="Arial"/>
          <w:rtl/>
        </w:rPr>
      </w:pPr>
      <w:r>
        <w:rPr>
          <w:rFonts w:ascii="Arial" w:hAnsi="Arial" w:hint="cs"/>
          <w:rtl/>
        </w:rPr>
        <w:t xml:space="preserve">ער אני לטיעוני הסנגורית ובתוך כך העובדה כי המשיב נעדר כל עבר פלילי, יחד עם זאת המשיב לא נכנס למטרת עבודה לתחומי מדינת ישראל, מטרת הכניסה </w:t>
      </w:r>
      <w:proofErr w:type="spellStart"/>
      <w:r>
        <w:rPr>
          <w:rFonts w:ascii="Arial" w:hAnsi="Arial" w:hint="cs"/>
          <w:rtl/>
        </w:rPr>
        <w:t>היתה</w:t>
      </w:r>
      <w:proofErr w:type="spellEnd"/>
      <w:r>
        <w:rPr>
          <w:rFonts w:ascii="Arial" w:hAnsi="Arial" w:hint="cs"/>
          <w:rtl/>
        </w:rPr>
        <w:t xml:space="preserve"> לפגוע ברכושו של הציבור, עת חבר לאחר, התפרץ לרכב וגנב אותו</w:t>
      </w:r>
      <w:r w:rsidR="00A1598F">
        <w:rPr>
          <w:rFonts w:ascii="Arial" w:hAnsi="Arial" w:hint="cs"/>
          <w:rtl/>
        </w:rPr>
        <w:t>.</w:t>
      </w:r>
    </w:p>
    <w:p w:rsidR="007D1370" w:rsidRDefault="007D1370" w:rsidP="007D1370">
      <w:pPr>
        <w:pStyle w:val="ab"/>
        <w:spacing w:line="360" w:lineRule="auto"/>
        <w:ind w:left="360"/>
        <w:jc w:val="both"/>
        <w:rPr>
          <w:rFonts w:ascii="Arial" w:hAnsi="Arial"/>
          <w:rtl/>
        </w:rPr>
      </w:pPr>
    </w:p>
    <w:p w:rsidR="007D1370" w:rsidRDefault="007D1370" w:rsidP="007D1370">
      <w:pPr>
        <w:pStyle w:val="ab"/>
        <w:spacing w:line="360" w:lineRule="auto"/>
        <w:ind w:left="360"/>
        <w:jc w:val="both"/>
        <w:rPr>
          <w:rFonts w:ascii="Arial" w:hAnsi="Arial"/>
          <w:rtl/>
        </w:rPr>
      </w:pPr>
      <w:r>
        <w:rPr>
          <w:rFonts w:ascii="Arial" w:hAnsi="Arial" w:hint="cs"/>
          <w:rtl/>
        </w:rPr>
        <w:t xml:space="preserve">מעבר לכך, המסוכנות הנטענת וזו שקבעתי ברף גבוה מבחינת עילת המעצר, אינה מאפשרת שחרורו של המשיב, אשר פגע ברכושו של הציבור, נהג ברכב ללא רישיון תוך סיכון, לא שעה </w:t>
      </w:r>
      <w:r w:rsidR="008664FB">
        <w:rPr>
          <w:rFonts w:ascii="Arial" w:hAnsi="Arial" w:hint="cs"/>
          <w:rtl/>
        </w:rPr>
        <w:t xml:space="preserve">להוראת שוטרים, גם שירו לכיוונו, ובהמשך נמלט רגלית מהרכב. </w:t>
      </w:r>
    </w:p>
    <w:p w:rsidR="008664FB" w:rsidRDefault="008664FB" w:rsidP="007D1370">
      <w:pPr>
        <w:pStyle w:val="ab"/>
        <w:spacing w:line="360" w:lineRule="auto"/>
        <w:ind w:left="360"/>
        <w:jc w:val="both"/>
        <w:rPr>
          <w:rFonts w:ascii="Arial" w:hAnsi="Arial"/>
          <w:rtl/>
        </w:rPr>
      </w:pPr>
    </w:p>
    <w:p w:rsidR="004A5E57" w:rsidRDefault="008664FB" w:rsidP="008664FB">
      <w:pPr>
        <w:pStyle w:val="ab"/>
        <w:spacing w:line="360" w:lineRule="auto"/>
        <w:ind w:left="360"/>
        <w:jc w:val="both"/>
        <w:rPr>
          <w:rFonts w:ascii="Arial" w:hAnsi="Arial"/>
          <w:b/>
          <w:bCs/>
          <w:rtl/>
        </w:rPr>
      </w:pPr>
      <w:r>
        <w:rPr>
          <w:rFonts w:ascii="Arial" w:hAnsi="Arial" w:hint="cs"/>
          <w:rtl/>
        </w:rPr>
        <w:t xml:space="preserve">בעניין זה יפים דבריו של בית המשפט העליון במסגרת </w:t>
      </w:r>
      <w:r>
        <w:rPr>
          <w:rFonts w:ascii="Arial" w:hAnsi="Arial" w:hint="cs"/>
          <w:b/>
          <w:bCs/>
          <w:rtl/>
        </w:rPr>
        <w:t xml:space="preserve">ע"פ 1919/22 מקדשי נגד מדינת ישראל (2022): </w:t>
      </w:r>
      <w:r w:rsidRPr="008664FB">
        <w:rPr>
          <w:rFonts w:ascii="Arial" w:hAnsi="Arial" w:hint="cs"/>
          <w:b/>
          <w:bCs/>
          <w:i/>
          <w:iCs/>
          <w:rtl/>
        </w:rPr>
        <w:t>"הצבת מחסום משטרתי הפכה למרבה הצער למלאכה שיש סיכון בצדה ... חברה מתוקנת לא יכולה להשלים עם תופעות של נהיגה פראית ובריונית אשר מסכנת את ביטחון הציבור, הנהגים ועוברי הדרך"</w:t>
      </w:r>
      <w:r>
        <w:rPr>
          <w:rFonts w:ascii="Arial" w:hAnsi="Arial" w:hint="cs"/>
          <w:b/>
          <w:bCs/>
          <w:rtl/>
        </w:rPr>
        <w:t xml:space="preserve">.  </w:t>
      </w:r>
    </w:p>
    <w:p w:rsidR="004A5E57" w:rsidRDefault="004A5E57" w:rsidP="00F62C5A">
      <w:pPr>
        <w:rPr>
          <w:rFonts w:ascii="Arial" w:hAnsi="Arial"/>
          <w:rtl/>
        </w:rPr>
      </w:pPr>
      <w:r>
        <w:rPr>
          <w:rFonts w:ascii="Arial" w:hAnsi="Arial"/>
          <w:rtl/>
        </w:rPr>
        <w:tab/>
      </w:r>
    </w:p>
    <w:p w:rsidR="00F62C5A" w:rsidRPr="004A5E57" w:rsidRDefault="004A5E57" w:rsidP="00F62C5A">
      <w:pPr>
        <w:rPr>
          <w:rFonts w:ascii="Arial" w:hAnsi="Arial"/>
          <w:rtl/>
        </w:rPr>
      </w:pPr>
      <w:r w:rsidRPr="004A5E57">
        <w:rPr>
          <w:rFonts w:ascii="Arial" w:hAnsi="Arial"/>
          <w:rtl/>
        </w:rPr>
        <w:tab/>
      </w:r>
    </w:p>
    <w:p w:rsidR="00F62C5A" w:rsidRDefault="008664FB" w:rsidP="00F62C5A">
      <w:pPr>
        <w:pStyle w:val="ab"/>
        <w:numPr>
          <w:ilvl w:val="0"/>
          <w:numId w:val="3"/>
        </w:numPr>
        <w:spacing w:line="360" w:lineRule="auto"/>
        <w:jc w:val="both"/>
        <w:rPr>
          <w:rFonts w:ascii="Arial" w:hAnsi="Arial"/>
        </w:rPr>
      </w:pPr>
      <w:r>
        <w:rPr>
          <w:rFonts w:ascii="Arial" w:hAnsi="Arial" w:hint="cs"/>
          <w:rtl/>
        </w:rPr>
        <w:t xml:space="preserve">מכלל הטעמים דלעיל, מצאתי להורות על מעצרו של המשיב עד לתום ההליכים. </w:t>
      </w:r>
    </w:p>
    <w:p w:rsidR="008664FB" w:rsidRDefault="008664FB" w:rsidP="008664FB">
      <w:pPr>
        <w:pStyle w:val="ab"/>
        <w:spacing w:line="360" w:lineRule="auto"/>
        <w:ind w:left="360"/>
        <w:jc w:val="both"/>
        <w:rPr>
          <w:rFonts w:ascii="Arial" w:hAnsi="Arial"/>
          <w:rtl/>
        </w:rPr>
      </w:pPr>
      <w:r>
        <w:rPr>
          <w:rFonts w:ascii="Arial" w:hAnsi="Arial" w:hint="cs"/>
          <w:rtl/>
        </w:rPr>
        <w:t xml:space="preserve">פרוטוקול זה ישמש כצו מעצר. </w:t>
      </w:r>
    </w:p>
    <w:p w:rsidR="00507694" w:rsidRPr="001413F0" w:rsidRDefault="00507694" w:rsidP="001413F0">
      <w:pPr>
        <w:spacing w:line="360" w:lineRule="auto"/>
        <w:jc w:val="both"/>
        <w:rPr>
          <w:rFonts w:ascii="Arial" w:hAnsi="Arial"/>
          <w:b/>
          <w:bCs/>
          <w:rtl/>
        </w:rPr>
      </w:pPr>
    </w:p>
    <w:p w:rsidR="00507694" w:rsidRPr="000F2247" w:rsidRDefault="00684E84" w:rsidP="00E73667">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י"א כסלו תשפ"ה</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12 דצמבר 2024</w:t>
          </w:r>
        </w:sdtContent>
      </w:sdt>
      <w:r w:rsidRPr="000F2247">
        <w:rPr>
          <w:rFonts w:ascii="Arial" w:hAnsi="Arial"/>
          <w:b/>
          <w:bCs/>
          <w:sz w:val="26"/>
          <w:szCs w:val="26"/>
          <w:rtl/>
        </w:rPr>
        <w:t xml:space="preserve">, </w:t>
      </w:r>
      <w:r w:rsidR="00A07292">
        <w:rPr>
          <w:rFonts w:ascii="Arial" w:hAnsi="Arial" w:hint="cs"/>
          <w:b/>
          <w:bCs/>
          <w:sz w:val="26"/>
          <w:szCs w:val="26"/>
          <w:rtl/>
        </w:rPr>
        <w:t>במעמד</w:t>
      </w:r>
      <w:r w:rsidRPr="000F2247">
        <w:rPr>
          <w:rFonts w:ascii="Arial" w:hAnsi="Arial"/>
          <w:b/>
          <w:bCs/>
          <w:sz w:val="26"/>
          <w:szCs w:val="26"/>
          <w:rtl/>
        </w:rPr>
        <w:t xml:space="preserve"> הצדדים.</w:t>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E73667">
            <w:rPr>
              <w:rFonts w:ascii="Arial" w:hAnsi="Arial" w:hint="cs"/>
              <w:b/>
              <w:bCs/>
              <w:sz w:val="26"/>
              <w:szCs w:val="26"/>
              <w:rtl/>
            </w:rPr>
            <w:t xml:space="preserve">    </w:t>
          </w:r>
        </w:sdtContent>
      </w:sdt>
    </w:p>
    <w:p w:rsidR="00507694" w:rsidRPr="000F2247" w:rsidRDefault="003E0C9F" w:rsidP="00A1598F">
      <w:pPr>
        <w:jc w:val="right"/>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81809806"/>
        </w:sdtPr>
        <w:sdtEndPr/>
        <w:sdtContent>
          <w:r w:rsidR="0097028C">
            <w:rPr>
              <w:noProof/>
            </w:rPr>
            <w:drawing>
              <wp:inline distT="0" distB="0" distL="0" distR="0" wp14:editId="50D07946">
                <wp:extent cx="1647825"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47825" cy="762000"/>
                        </a:xfrm>
                        <a:prstGeom prst="rect">
                          <a:avLst/>
                        </a:prstGeom>
                      </pic:spPr>
                    </pic:pic>
                  </a:graphicData>
                </a:graphic>
              </wp:inline>
            </w:drawing>
          </w:r>
        </w:sdtContent>
      </w:sdt>
    </w:p>
    <w:p w:rsidR="00507694" w:rsidRPr="000F2247" w:rsidRDefault="00507694" w:rsidP="00A1598F">
      <w:pPr>
        <w:jc w:val="right"/>
        <w:rPr>
          <w:rFonts w:ascii="Arial" w:hAnsi="Arial"/>
          <w:b/>
          <w:bCs/>
          <w:sz w:val="26"/>
          <w:szCs w:val="26"/>
          <w:rtl/>
        </w:rPr>
      </w:pPr>
    </w:p>
    <w:sectPr w:rsidR="00507694" w:rsidRPr="000F2247" w:rsidSect="001413F0">
      <w:headerReference w:type="even" r:id="rId9"/>
      <w:headerReference w:type="default" r:id="rId10"/>
      <w:footerReference w:type="even" r:id="rId11"/>
      <w:footerReference w:type="default" r:id="rId12"/>
      <w:headerReference w:type="first" r:id="rId13"/>
      <w:footerReference w:type="first" r:id="rId14"/>
      <w:pgSz w:w="11907" w:h="16840" w:code="9"/>
      <w:pgMar w:top="244" w:right="1701" w:bottom="1276"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1B1F" w:rsidRDefault="006D1B1F">
      <w:r>
        <w:separator/>
      </w:r>
    </w:p>
  </w:endnote>
  <w:endnote w:type="continuationSeparator" w:id="0">
    <w:p w:rsidR="006D1B1F" w:rsidRDefault="006D1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952F40">
      <w:rPr>
        <w:noProof/>
        <w:rtl/>
      </w:rPr>
      <w:t>6</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952F40">
      <w:rPr>
        <w:noProof/>
        <w:rtl/>
      </w:rPr>
      <w:t>6</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1B1F" w:rsidRDefault="006D1B1F">
      <w:r>
        <w:separator/>
      </w:r>
    </w:p>
  </w:footnote>
  <w:footnote w:type="continuationSeparator" w:id="0">
    <w:p w:rsidR="006D1B1F" w:rsidRDefault="006D1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1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47"/>
      <w:gridCol w:w="3558"/>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בתל אביב -יפו</w:t>
              </w:r>
            </w:p>
          </w:tc>
        </w:sdtContent>
      </w:sdt>
    </w:tr>
    <w:tr w:rsidR="00507694">
      <w:trPr>
        <w:trHeight w:val="337"/>
        <w:jc w:val="center"/>
      </w:trPr>
      <w:tc>
        <w:tcPr>
          <w:tcW w:w="5131" w:type="dxa"/>
        </w:tcPr>
        <w:p w:rsidR="00507694" w:rsidRDefault="006D1B1F">
          <w:pPr>
            <w:rPr>
              <w:rtl/>
            </w:rPr>
          </w:pPr>
          <w:sdt>
            <w:sdtPr>
              <w:rPr>
                <w:rtl/>
              </w:rPr>
              <w:alias w:val="1170"/>
              <w:tag w:val="1170"/>
              <w:id w:val="2112628154"/>
              <w:text w:multiLine="1"/>
            </w:sdtPr>
            <w:sdtEndPr/>
            <w:sdtContent>
              <w:proofErr w:type="spellStart"/>
              <w:r w:rsidR="00B513A7">
                <w:rPr>
                  <w:rFonts w:cs="FrankRuehl"/>
                  <w:sz w:val="28"/>
                  <w:szCs w:val="28"/>
                  <w:rtl/>
                </w:rPr>
                <w:t>מ"ת</w:t>
              </w:r>
              <w:proofErr w:type="spellEnd"/>
            </w:sdtContent>
          </w:sdt>
          <w:r w:rsidR="00684E84">
            <w:rPr>
              <w:rFonts w:cs="FrankRuehl" w:hint="cs"/>
              <w:sz w:val="28"/>
              <w:szCs w:val="28"/>
              <w:rtl/>
            </w:rPr>
            <w:t xml:space="preserve"> </w:t>
          </w:r>
          <w:sdt>
            <w:sdtPr>
              <w:rPr>
                <w:rtl/>
              </w:rPr>
              <w:alias w:val="1171"/>
              <w:tag w:val="1171"/>
              <w:id w:val="-1870053316"/>
              <w:text w:multiLine="1"/>
            </w:sdtPr>
            <w:sdtEndPr/>
            <w:sdtContent>
              <w:r w:rsidR="00B513A7">
                <w:rPr>
                  <w:rFonts w:cs="FrankRuehl"/>
                  <w:sz w:val="28"/>
                  <w:szCs w:val="28"/>
                  <w:rtl/>
                </w:rPr>
                <w:t>57006-11-24</w:t>
              </w:r>
            </w:sdtContent>
          </w:sdt>
          <w:r w:rsidR="00684E84">
            <w:rPr>
              <w:rFonts w:cs="FrankRuehl" w:hint="cs"/>
              <w:sz w:val="28"/>
              <w:szCs w:val="28"/>
              <w:rtl/>
            </w:rPr>
            <w:t xml:space="preserve"> </w:t>
          </w:r>
          <w:sdt>
            <w:sdtPr>
              <w:rPr>
                <w:rtl/>
              </w:rPr>
              <w:alias w:val="1172"/>
              <w:tag w:val="1172"/>
              <w:id w:val="-2143494014"/>
              <w:text w:multiLine="1"/>
            </w:sdtPr>
            <w:sdtEndPr/>
            <w:sdtContent>
              <w:r w:rsidR="00B513A7">
                <w:rPr>
                  <w:rFonts w:cs="FrankRuehl"/>
                  <w:sz w:val="28"/>
                  <w:szCs w:val="28"/>
                  <w:rtl/>
                </w:rPr>
                <w:t xml:space="preserve">מדינת ישראל נ' </w:t>
              </w:r>
              <w:proofErr w:type="spellStart"/>
              <w:r w:rsidR="00B513A7">
                <w:rPr>
                  <w:rFonts w:cs="FrankRuehl"/>
                  <w:sz w:val="28"/>
                  <w:szCs w:val="28"/>
                  <w:rtl/>
                </w:rPr>
                <w:t>ברקאן</w:t>
              </w:r>
              <w:proofErr w:type="spellEnd"/>
              <w:r w:rsidR="00B513A7">
                <w:rPr>
                  <w:rFonts w:cs="FrankRuehl"/>
                  <w:sz w:val="28"/>
                  <w:szCs w:val="28"/>
                  <w:rtl/>
                </w:rPr>
                <w:t>(עציר)</w:t>
              </w:r>
            </w:sdtContent>
          </w:sdt>
        </w:p>
        <w:p w:rsidR="001413F0" w:rsidRDefault="001413F0">
          <w:pPr>
            <w:rPr>
              <w:rtl/>
            </w:rPr>
          </w:pPr>
        </w:p>
        <w:p w:rsidR="00507694" w:rsidRDefault="001413F0" w:rsidP="001413F0">
          <w:pPr>
            <w:spacing w:line="360" w:lineRule="auto"/>
            <w:jc w:val="both"/>
            <w:rPr>
              <w:rFonts w:cs="FrankRuehl"/>
              <w:sz w:val="28"/>
              <w:szCs w:val="28"/>
              <w:rtl/>
            </w:rPr>
          </w:pPr>
          <w:r w:rsidRPr="001413F0">
            <w:rPr>
              <w:rFonts w:ascii="David" w:hAnsi="David" w:hint="cs"/>
              <w:b/>
              <w:bCs/>
              <w:sz w:val="26"/>
              <w:szCs w:val="26"/>
              <w:u w:val="single"/>
              <w:rtl/>
            </w:rPr>
            <w:t>ל</w:t>
          </w:r>
          <w:r w:rsidRPr="001413F0">
            <w:rPr>
              <w:rFonts w:ascii="David" w:hAnsi="David"/>
              <w:b/>
              <w:bCs/>
              <w:sz w:val="26"/>
              <w:szCs w:val="26"/>
              <w:u w:val="single"/>
              <w:rtl/>
            </w:rPr>
            <w:t>פני כבוד ה</w:t>
          </w:r>
          <w:sdt>
            <w:sdtPr>
              <w:rPr>
                <w:rFonts w:ascii="David" w:hAnsi="David"/>
                <w:b/>
                <w:bCs/>
                <w:sz w:val="26"/>
                <w:szCs w:val="26"/>
                <w:u w:val="single"/>
                <w:rtl/>
              </w:rPr>
              <w:alias w:val="1574"/>
              <w:tag w:val="1574"/>
              <w:id w:val="-1615122647"/>
              <w:text w:multiLine="1"/>
            </w:sdtPr>
            <w:sdtEndPr/>
            <w:sdtContent>
              <w:r w:rsidRPr="001413F0">
                <w:rPr>
                  <w:rFonts w:ascii="David" w:hAnsi="David"/>
                  <w:b/>
                  <w:bCs/>
                  <w:sz w:val="26"/>
                  <w:szCs w:val="26"/>
                  <w:u w:val="single"/>
                  <w:rtl/>
                </w:rPr>
                <w:t>שופט, סגן הנשיאה</w:t>
              </w:r>
            </w:sdtContent>
          </w:sdt>
          <w:r>
            <w:rPr>
              <w:rFonts w:ascii="David" w:hAnsi="David" w:hint="cs"/>
              <w:b/>
              <w:bCs/>
              <w:sz w:val="26"/>
              <w:szCs w:val="26"/>
              <w:u w:val="single"/>
              <w:rtl/>
            </w:rPr>
            <w:t>,</w:t>
          </w:r>
          <w:r w:rsidRPr="001413F0">
            <w:rPr>
              <w:rFonts w:ascii="David" w:hAnsi="David"/>
              <w:b/>
              <w:bCs/>
              <w:sz w:val="26"/>
              <w:szCs w:val="26"/>
              <w:u w:val="single"/>
              <w:rtl/>
            </w:rPr>
            <w:t xml:space="preserve"> </w:t>
          </w:r>
          <w:sdt>
            <w:sdtPr>
              <w:rPr>
                <w:rFonts w:ascii="David" w:hAnsi="David"/>
                <w:b/>
                <w:bCs/>
                <w:sz w:val="26"/>
                <w:szCs w:val="26"/>
                <w:u w:val="single"/>
                <w:rtl/>
              </w:rPr>
              <w:alias w:val="1573"/>
              <w:tag w:val="1573"/>
              <w:id w:val="-1715807626"/>
              <w:text w:multiLine="1"/>
            </w:sdtPr>
            <w:sdtEndPr/>
            <w:sdtContent>
              <w:r w:rsidRPr="001413F0">
                <w:rPr>
                  <w:rFonts w:ascii="David" w:hAnsi="David"/>
                  <w:b/>
                  <w:bCs/>
                  <w:sz w:val="26"/>
                  <w:szCs w:val="26"/>
                  <w:u w:val="single"/>
                  <w:rtl/>
                </w:rPr>
                <w:t>רועי פרי</w:t>
              </w:r>
            </w:sdtContent>
          </w:sdt>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525EC"/>
    <w:multiLevelType w:val="hybridMultilevel"/>
    <w:tmpl w:val="C8BE9ED4"/>
    <w:lvl w:ilvl="0" w:tplc="B9EAFD00">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14445"/>
    <w:rsid w:val="00031F8A"/>
    <w:rsid w:val="000327C0"/>
    <w:rsid w:val="000454A8"/>
    <w:rsid w:val="00054FC4"/>
    <w:rsid w:val="0006726A"/>
    <w:rsid w:val="000F2247"/>
    <w:rsid w:val="00100577"/>
    <w:rsid w:val="001352F8"/>
    <w:rsid w:val="001413F0"/>
    <w:rsid w:val="001C008A"/>
    <w:rsid w:val="00212125"/>
    <w:rsid w:val="00224AC0"/>
    <w:rsid w:val="002B5B71"/>
    <w:rsid w:val="002B7D23"/>
    <w:rsid w:val="002D6C61"/>
    <w:rsid w:val="00367565"/>
    <w:rsid w:val="003A052D"/>
    <w:rsid w:val="003D7D8A"/>
    <w:rsid w:val="003E0C9F"/>
    <w:rsid w:val="004215DC"/>
    <w:rsid w:val="0042604F"/>
    <w:rsid w:val="004902D6"/>
    <w:rsid w:val="004A5E57"/>
    <w:rsid w:val="004F79AE"/>
    <w:rsid w:val="00507694"/>
    <w:rsid w:val="005B31C9"/>
    <w:rsid w:val="005C7B0B"/>
    <w:rsid w:val="00647E7A"/>
    <w:rsid w:val="00683ABD"/>
    <w:rsid w:val="00684E84"/>
    <w:rsid w:val="00691E5D"/>
    <w:rsid w:val="006C2095"/>
    <w:rsid w:val="006D1B1F"/>
    <w:rsid w:val="00706644"/>
    <w:rsid w:val="00757983"/>
    <w:rsid w:val="00774483"/>
    <w:rsid w:val="007D1370"/>
    <w:rsid w:val="00821F29"/>
    <w:rsid w:val="00822550"/>
    <w:rsid w:val="00832D73"/>
    <w:rsid w:val="008664FB"/>
    <w:rsid w:val="008819B4"/>
    <w:rsid w:val="008A251A"/>
    <w:rsid w:val="008F1149"/>
    <w:rsid w:val="0090506F"/>
    <w:rsid w:val="00947B38"/>
    <w:rsid w:val="00952F40"/>
    <w:rsid w:val="0097028C"/>
    <w:rsid w:val="009705CC"/>
    <w:rsid w:val="009A730D"/>
    <w:rsid w:val="009E35A7"/>
    <w:rsid w:val="009E49A1"/>
    <w:rsid w:val="009F504D"/>
    <w:rsid w:val="00A07292"/>
    <w:rsid w:val="00A1598F"/>
    <w:rsid w:val="00A504C4"/>
    <w:rsid w:val="00B05847"/>
    <w:rsid w:val="00B22E0A"/>
    <w:rsid w:val="00B23FA5"/>
    <w:rsid w:val="00B46B82"/>
    <w:rsid w:val="00B513A7"/>
    <w:rsid w:val="00B673C8"/>
    <w:rsid w:val="00BC7D93"/>
    <w:rsid w:val="00BD67E7"/>
    <w:rsid w:val="00BE0015"/>
    <w:rsid w:val="00C02463"/>
    <w:rsid w:val="00C45023"/>
    <w:rsid w:val="00C55E62"/>
    <w:rsid w:val="00C572E8"/>
    <w:rsid w:val="00D0436D"/>
    <w:rsid w:val="00D1452D"/>
    <w:rsid w:val="00D17734"/>
    <w:rsid w:val="00D202F4"/>
    <w:rsid w:val="00D3203D"/>
    <w:rsid w:val="00D82776"/>
    <w:rsid w:val="00D968B5"/>
    <w:rsid w:val="00DD1ECD"/>
    <w:rsid w:val="00DD7377"/>
    <w:rsid w:val="00E121A6"/>
    <w:rsid w:val="00E70F9C"/>
    <w:rsid w:val="00E73667"/>
    <w:rsid w:val="00ED4465"/>
    <w:rsid w:val="00F62C5A"/>
    <w:rsid w:val="00F75AFC"/>
    <w:rsid w:val="00FA014E"/>
    <w:rsid w:val="00FB3F21"/>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1413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7D6C8E" w:rsidP="007D6C8E">
          <w:pPr>
            <w:pStyle w:val="779E22585710421C8C89FB185AEA4F297"/>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7D6C8E" w:rsidP="007D6C8E">
          <w:pPr>
            <w:pStyle w:val="010484D989C74E84A895BCF1D17B4C1C7"/>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F7533A" w:rsidP="00F7533A">
          <w:pPr>
            <w:pStyle w:val="4C499F2ED676413B965A992DD16BA9684"/>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43736D"/>
    <w:rsid w:val="00604245"/>
    <w:rsid w:val="00712832"/>
    <w:rsid w:val="007D6C8E"/>
    <w:rsid w:val="00AF3697"/>
    <w:rsid w:val="00B252EB"/>
    <w:rsid w:val="00CC13F5"/>
    <w:rsid w:val="00CF4D0E"/>
    <w:rsid w:val="00F7533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F7533A"/>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B252E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B252E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B252EB"/>
    <w:pPr>
      <w:bidi/>
      <w:spacing w:after="0" w:line="240" w:lineRule="auto"/>
    </w:pPr>
    <w:rPr>
      <w:rFonts w:ascii="Times New Roman" w:eastAsia="Times New Roman" w:hAnsi="Times New Roman" w:cs="David"/>
      <w:sz w:val="24"/>
      <w:szCs w:val="24"/>
    </w:rPr>
  </w:style>
  <w:style w:type="paragraph" w:customStyle="1" w:styleId="779E22585710421C8C89FB185AEA4F296">
    <w:name w:val="779E22585710421C8C89FB185AEA4F296"/>
    <w:rsid w:val="0043736D"/>
    <w:pPr>
      <w:bidi/>
      <w:spacing w:after="0" w:line="240" w:lineRule="auto"/>
    </w:pPr>
    <w:rPr>
      <w:rFonts w:ascii="Times New Roman" w:eastAsia="Times New Roman" w:hAnsi="Times New Roman" w:cs="David"/>
      <w:sz w:val="24"/>
      <w:szCs w:val="24"/>
    </w:rPr>
  </w:style>
  <w:style w:type="paragraph" w:customStyle="1" w:styleId="010484D989C74E84A895BCF1D17B4C1C6">
    <w:name w:val="010484D989C74E84A895BCF1D17B4C1C6"/>
    <w:rsid w:val="0043736D"/>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43736D"/>
    <w:pPr>
      <w:bidi/>
      <w:spacing w:after="0" w:line="240" w:lineRule="auto"/>
    </w:pPr>
    <w:rPr>
      <w:rFonts w:ascii="Times New Roman" w:eastAsia="Times New Roman" w:hAnsi="Times New Roman" w:cs="David"/>
      <w:sz w:val="24"/>
      <w:szCs w:val="24"/>
    </w:rPr>
  </w:style>
  <w:style w:type="paragraph" w:customStyle="1" w:styleId="779E22585710421C8C89FB185AEA4F297">
    <w:name w:val="779E22585710421C8C89FB185AEA4F297"/>
    <w:rsid w:val="007D6C8E"/>
    <w:pPr>
      <w:bidi/>
      <w:spacing w:after="0" w:line="240" w:lineRule="auto"/>
    </w:pPr>
    <w:rPr>
      <w:rFonts w:ascii="Times New Roman" w:eastAsia="Times New Roman" w:hAnsi="Times New Roman" w:cs="David"/>
      <w:sz w:val="24"/>
      <w:szCs w:val="24"/>
    </w:rPr>
  </w:style>
  <w:style w:type="paragraph" w:customStyle="1" w:styleId="010484D989C74E84A895BCF1D17B4C1C7">
    <w:name w:val="010484D989C74E84A895BCF1D17B4C1C7"/>
    <w:rsid w:val="007D6C8E"/>
    <w:pPr>
      <w:bidi/>
      <w:spacing w:after="0" w:line="240" w:lineRule="auto"/>
    </w:pPr>
    <w:rPr>
      <w:rFonts w:ascii="Times New Roman" w:eastAsia="Times New Roman" w:hAnsi="Times New Roman" w:cs="David"/>
      <w:sz w:val="24"/>
      <w:szCs w:val="24"/>
    </w:rPr>
  </w:style>
  <w:style w:type="paragraph" w:customStyle="1" w:styleId="4C499F2ED676413B965A992DD16BA9683">
    <w:name w:val="4C499F2ED676413B965A992DD16BA9683"/>
    <w:rsid w:val="007D6C8E"/>
    <w:pPr>
      <w:bidi/>
      <w:spacing w:after="0" w:line="240" w:lineRule="auto"/>
    </w:pPr>
    <w:rPr>
      <w:rFonts w:ascii="Times New Roman" w:eastAsia="Times New Roman" w:hAnsi="Times New Roman" w:cs="David"/>
      <w:sz w:val="24"/>
      <w:szCs w:val="24"/>
    </w:rPr>
  </w:style>
  <w:style w:type="paragraph" w:customStyle="1" w:styleId="4C499F2ED676413B965A992DD16BA9684">
    <w:name w:val="4C499F2ED676413B965A992DD16BA9684"/>
    <w:rsid w:val="00F7533A"/>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1919</Words>
  <Characters>9595</Characters>
  <Application>Microsoft Office Word</Application>
  <DocSecurity>0</DocSecurity>
  <Lines>79</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2024-12-18T06:44:00Z</dcterms:created>
  <dcterms:modified xsi:type="dcterms:W3CDTF">2024-12-18T06:44:00Z</dcterms:modified>
</cp:coreProperties>
</file>